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AB0898" w:rsidTr="00AB089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B089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0898" w:rsidRDefault="00AB0898">
                  <w:pPr>
                    <w:spacing w:line="240" w:lineRule="atLeast"/>
                    <w:rPr>
                      <w:rFonts w:ascii="Times New Roman" w:hAnsi="Times New Roman"/>
                      <w:sz w:val="24"/>
                      <w:szCs w:val="24"/>
                      <w:lang w:eastAsia="tr-TR"/>
                    </w:rPr>
                  </w:pPr>
                  <w:r>
                    <w:rPr>
                      <w:rFonts w:ascii="Arial" w:hAnsi="Arial" w:cs="Arial"/>
                      <w:sz w:val="16"/>
                      <w:szCs w:val="16"/>
                      <w:lang w:eastAsia="tr-TR"/>
                    </w:rPr>
                    <w:t>22 Şubat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Palatino Linotype"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B0898" w:rsidRDefault="00AB0898">
                  <w:pPr>
                    <w:spacing w:before="100" w:beforeAutospacing="1" w:after="100" w:afterAutospacing="1"/>
                    <w:jc w:val="right"/>
                    <w:rPr>
                      <w:rFonts w:ascii="Times New Roman" w:hAnsi="Times New Roman"/>
                      <w:sz w:val="24"/>
                      <w:szCs w:val="24"/>
                      <w:lang w:eastAsia="tr-TR"/>
                    </w:rPr>
                  </w:pPr>
                  <w:proofErr w:type="gramStart"/>
                  <w:r>
                    <w:rPr>
                      <w:rFonts w:ascii="Arial" w:hAnsi="Arial" w:cs="Arial"/>
                      <w:sz w:val="16"/>
                      <w:szCs w:val="16"/>
                      <w:lang w:eastAsia="tr-TR"/>
                    </w:rPr>
                    <w:t>Sayı : 30694</w:t>
                  </w:r>
                  <w:proofErr w:type="gramEnd"/>
                </w:p>
              </w:tc>
            </w:tr>
            <w:tr w:rsidR="00AB0898">
              <w:trPr>
                <w:trHeight w:val="480"/>
                <w:jc w:val="center"/>
              </w:trPr>
              <w:tc>
                <w:tcPr>
                  <w:tcW w:w="8789" w:type="dxa"/>
                  <w:gridSpan w:val="3"/>
                  <w:tcMar>
                    <w:top w:w="0" w:type="dxa"/>
                    <w:left w:w="108" w:type="dxa"/>
                    <w:bottom w:w="0" w:type="dxa"/>
                    <w:right w:w="108" w:type="dxa"/>
                  </w:tcMar>
                  <w:vAlign w:val="center"/>
                  <w:hideMark/>
                </w:tcPr>
                <w:p w:rsidR="00AB0898" w:rsidRDefault="00AB0898">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TEBLİĞ</w:t>
                  </w:r>
                </w:p>
              </w:tc>
            </w:tr>
            <w:tr w:rsidR="00AB0898">
              <w:trPr>
                <w:trHeight w:val="480"/>
                <w:jc w:val="center"/>
              </w:trPr>
              <w:tc>
                <w:tcPr>
                  <w:tcW w:w="8789" w:type="dxa"/>
                  <w:gridSpan w:val="3"/>
                  <w:tcMar>
                    <w:top w:w="0" w:type="dxa"/>
                    <w:left w:w="108" w:type="dxa"/>
                    <w:bottom w:w="0" w:type="dxa"/>
                    <w:right w:w="108" w:type="dxa"/>
                  </w:tcMar>
                  <w:vAlign w:val="center"/>
                  <w:hideMark/>
                </w:tcPr>
                <w:p w:rsidR="00AB0898" w:rsidRDefault="00AB0898">
                  <w:pPr>
                    <w:spacing w:line="240" w:lineRule="atLeast"/>
                    <w:ind w:firstLine="566"/>
                    <w:jc w:val="both"/>
                    <w:rPr>
                      <w:rFonts w:ascii="Times New Roman" w:hAnsi="Times New Roman"/>
                      <w:u w:val="single"/>
                      <w:lang w:eastAsia="tr-TR"/>
                    </w:rPr>
                  </w:pPr>
                  <w:r>
                    <w:rPr>
                      <w:rFonts w:ascii="Times New Roman" w:hAnsi="Times New Roman"/>
                      <w:sz w:val="18"/>
                      <w:szCs w:val="18"/>
                      <w:u w:val="single"/>
                      <w:lang w:eastAsia="tr-TR"/>
                    </w:rPr>
                    <w:t>Enerji Piyasası Düzenleme Kurumundan:</w:t>
                  </w:r>
                </w:p>
                <w:p w:rsidR="00AB0898" w:rsidRDefault="00AB0898">
                  <w:pPr>
                    <w:spacing w:before="56"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AKARYAKIT HARİCİNDE KALAN PETROL ÜRÜNLERİNİN YURT İÇİ VE YURT</w:t>
                  </w:r>
                </w:p>
                <w:p w:rsidR="00AB0898" w:rsidRDefault="00AB0898">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DIŞI KAYNAKLARDAN TEMİNİNE İLİŞKİN USUL VE ESASLAR HAKKINDA</w:t>
                  </w:r>
                </w:p>
                <w:p w:rsidR="00AB0898" w:rsidRDefault="00AB0898">
                  <w:pPr>
                    <w:spacing w:after="170"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TEBLİĞDE DEĞİŞİKLİK YAPILMASINA DAİR TEBLİĞ</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 –</w:t>
                  </w:r>
                  <w:r>
                    <w:rPr>
                      <w:rFonts w:ascii="Times New Roman" w:hAnsi="Times New Roman"/>
                      <w:sz w:val="18"/>
                      <w:szCs w:val="18"/>
                      <w:lang w:eastAsia="tr-TR"/>
                    </w:rPr>
                    <w:t> </w:t>
                  </w:r>
                  <w:proofErr w:type="gramStart"/>
                  <w:r>
                    <w:rPr>
                      <w:rFonts w:ascii="Times New Roman" w:hAnsi="Times New Roman"/>
                      <w:sz w:val="18"/>
                      <w:szCs w:val="18"/>
                      <w:lang w:eastAsia="tr-TR"/>
                    </w:rPr>
                    <w:t>24/4/2013</w:t>
                  </w:r>
                  <w:proofErr w:type="gramEnd"/>
                  <w:r>
                    <w:rPr>
                      <w:rFonts w:ascii="Times New Roman" w:hAnsi="Times New Roman"/>
                      <w:sz w:val="18"/>
                      <w:szCs w:val="18"/>
                      <w:lang w:eastAsia="tr-TR"/>
                    </w:rPr>
                    <w:t xml:space="preserve"> tarihli ve 28627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Akaryakıt Haricinde Kalan Petrol Ürünlerinin Yurt İçi ve Yurt Dışı Kaynaklardan Teminine İlişkin Usul ve Esaslar Hakkında Tebliğin 5 inci maddesinin birinci fıkrası aşağıdaki şekilde değiştirilmiştir.</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“(1) Ek-1 kapsamındaki akaryakıt harici petrol ürünlerinin, ayda toplam 1.000 kilogramı aşmaması veya azami 5 kilogram kapasiteli ambalajlar içinde olması koşuluyla ithalinde ya da azami 25 kilogram kapasiteli ambalajlar içinde olması koşuluyla yurt içinden temininde uygunluk yazısı aranmaz.”</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2 –</w:t>
                  </w:r>
                  <w:r>
                    <w:rPr>
                      <w:rFonts w:ascii="Times New Roman" w:hAnsi="Times New Roman"/>
                      <w:sz w:val="18"/>
                      <w:szCs w:val="18"/>
                      <w:lang w:eastAsia="tr-TR"/>
                    </w:rPr>
                    <w:t> Aynı Tebliğin 7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maddesinin üçüncü fıkrası aşağıdaki şekilde değiştirilmiştir.</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Kamu kurum ve kuruluşlarının veya </w:t>
                  </w:r>
                  <w:proofErr w:type="gramStart"/>
                  <w:r>
                    <w:rPr>
                      <w:rFonts w:ascii="Times New Roman" w:hAnsi="Times New Roman"/>
                      <w:sz w:val="18"/>
                      <w:szCs w:val="18"/>
                      <w:lang w:eastAsia="tr-TR"/>
                    </w:rPr>
                    <w:t>30/5/2013</w:t>
                  </w:r>
                  <w:proofErr w:type="gramEnd"/>
                  <w:r>
                    <w:rPr>
                      <w:rFonts w:ascii="Times New Roman" w:hAnsi="Times New Roman"/>
                      <w:sz w:val="18"/>
                      <w:szCs w:val="18"/>
                      <w:lang w:eastAsia="tr-TR"/>
                    </w:rPr>
                    <w:t> tarihli ve 6491 sayılı Türk Petrol Kanunu kapsamında arama veya işletme ruhsatı verilen şirketlerin kendi tesislerinde veya faaliyet alanlarında kullanmak üzere kendileri veya yetki verdikleri şirketler aracılığı ile bu Tebliğ kapsamındaki ürünler için yapacakları temin başvurularında; ürünlerin adının, gümrük tarife istatistik pozisyonu bilgilerinin, miktarlarının, kullanılacakları tesislerin açıkça belirtildiği ilgili kuruma ait resmi yazının Kuruma ibraz edilmesi ve 6 </w:t>
                  </w:r>
                  <w:proofErr w:type="spellStart"/>
                  <w:r>
                    <w:rPr>
                      <w:rFonts w:ascii="Times New Roman" w:hAnsi="Times New Roman"/>
                      <w:sz w:val="18"/>
                      <w:szCs w:val="18"/>
                      <w:lang w:eastAsia="tr-TR"/>
                    </w:rPr>
                    <w:t>ncı</w:t>
                  </w:r>
                  <w:proofErr w:type="spellEnd"/>
                  <w:r>
                    <w:rPr>
                      <w:rFonts w:ascii="Times New Roman" w:hAnsi="Times New Roman"/>
                      <w:sz w:val="18"/>
                      <w:szCs w:val="18"/>
                      <w:lang w:eastAsia="tr-TR"/>
                    </w:rPr>
                    <w:t> maddeye uygun başvuru yapılması halinde, birinci fıkrada sayılan belgelerden sunulamayacak olanlar ibraz edilmeden uygunluk yazısı verilebilir.”</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3 – </w:t>
                  </w:r>
                  <w:r>
                    <w:rPr>
                      <w:rFonts w:ascii="Times New Roman" w:hAnsi="Times New Roman"/>
                      <w:sz w:val="18"/>
                      <w:szCs w:val="18"/>
                      <w:lang w:eastAsia="tr-TR"/>
                    </w:rPr>
                    <w:t>Aynı Tebliğin 8 inci maddesinin altıncı fıkrasının (e) bendinde yer alan “2710.19.99.00.00.11” ibaresi “2710.19.99.00.11” olarak değiştirilmiştir.</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4 –</w:t>
                  </w:r>
                  <w:r>
                    <w:rPr>
                      <w:rFonts w:ascii="Times New Roman" w:hAnsi="Times New Roman"/>
                      <w:sz w:val="18"/>
                      <w:szCs w:val="18"/>
                      <w:lang w:eastAsia="tr-TR"/>
                    </w:rPr>
                    <w:t> Aynı Tebliğin 9 uncu maddesi aşağıdaki şekilde değiştirilmiştir.</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w:t>
                  </w:r>
                  <w:r>
                    <w:rPr>
                      <w:rFonts w:ascii="Times New Roman" w:hAnsi="Times New Roman"/>
                      <w:b/>
                      <w:bCs/>
                      <w:sz w:val="18"/>
                      <w:szCs w:val="18"/>
                      <w:lang w:eastAsia="tr-TR"/>
                    </w:rPr>
                    <w:t>MADDE 9 –</w:t>
                  </w:r>
                  <w:r>
                    <w:rPr>
                      <w:rFonts w:ascii="Times New Roman" w:hAnsi="Times New Roman"/>
                      <w:sz w:val="18"/>
                      <w:szCs w:val="18"/>
                      <w:lang w:eastAsia="tr-TR"/>
                    </w:rPr>
                    <w:t> (1) Uygunluk yazılarında asgari olarak;</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a) Temini yapacak kişinin unvanı, vergi numarası, adresi,</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b) Temin edilecek ürünün Gümrük Tarife İstatistik Pozisyonu ve tanımı, izin verilen miktar,</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c) Teminin yapılacağı yurt içi üretici ya da gümrük bilgisi,</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ç) Uygunluk yazısının geçerlilik süresi,</w:t>
                  </w:r>
                </w:p>
                <w:p w:rsidR="00AB0898" w:rsidRDefault="00AB0898">
                  <w:pPr>
                    <w:spacing w:line="240" w:lineRule="atLeast"/>
                    <w:ind w:firstLine="566"/>
                    <w:jc w:val="both"/>
                    <w:rPr>
                      <w:rFonts w:ascii="Times New Roman" w:hAnsi="Times New Roman"/>
                      <w:sz w:val="19"/>
                      <w:szCs w:val="19"/>
                      <w:lang w:eastAsia="tr-TR"/>
                    </w:rPr>
                  </w:pPr>
                  <w:proofErr w:type="gramStart"/>
                  <w:r>
                    <w:rPr>
                      <w:rFonts w:ascii="Times New Roman" w:hAnsi="Times New Roman"/>
                      <w:sz w:val="18"/>
                      <w:szCs w:val="18"/>
                      <w:lang w:eastAsia="tr-TR"/>
                    </w:rPr>
                    <w:t>yer</w:t>
                  </w:r>
                  <w:proofErr w:type="gramEnd"/>
                  <w:r>
                    <w:rPr>
                      <w:rFonts w:ascii="Times New Roman" w:hAnsi="Times New Roman"/>
                      <w:sz w:val="18"/>
                      <w:szCs w:val="18"/>
                      <w:lang w:eastAsia="tr-TR"/>
                    </w:rPr>
                    <w:t> alır.”</w:t>
                  </w:r>
                </w:p>
                <w:p w:rsidR="00AB0898" w:rsidRDefault="00AB0898">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5 – </w:t>
                  </w:r>
                  <w:r>
                    <w:rPr>
                      <w:rFonts w:ascii="Times New Roman" w:hAnsi="Times New Roman"/>
                      <w:sz w:val="18"/>
                      <w:szCs w:val="18"/>
                      <w:lang w:eastAsia="tr-TR"/>
                    </w:rPr>
                    <w:t>Bu Tebliğ yayımı tarihinde yürürlüğe girer.</w:t>
                  </w:r>
                </w:p>
                <w:p w:rsidR="00AB0898" w:rsidRDefault="00AB0898">
                  <w:pPr>
                    <w:spacing w:after="200" w:line="240" w:lineRule="atLeast"/>
                    <w:ind w:firstLine="567"/>
                    <w:jc w:val="both"/>
                    <w:rPr>
                      <w:rFonts w:ascii="Times New Roman" w:hAnsi="Times New Roman"/>
                      <w:sz w:val="19"/>
                      <w:szCs w:val="19"/>
                      <w:lang w:eastAsia="tr-TR"/>
                    </w:rPr>
                  </w:pPr>
                  <w:r>
                    <w:rPr>
                      <w:rFonts w:ascii="Times New Roman" w:hAnsi="Times New Roman"/>
                      <w:b/>
                      <w:bCs/>
                      <w:sz w:val="18"/>
                      <w:szCs w:val="18"/>
                      <w:lang w:eastAsia="tr-TR"/>
                    </w:rPr>
                    <w:t>MADDE 6 – </w:t>
                  </w:r>
                  <w:r>
                    <w:rPr>
                      <w:rFonts w:ascii="Times New Roman" w:hAnsi="Times New Roman"/>
                      <w:sz w:val="18"/>
                      <w:szCs w:val="18"/>
                      <w:lang w:eastAsia="tr-TR"/>
                    </w:rPr>
                    <w:t>Bu Tebliğ hükümlerini Enerji Piyasası Düzenleme Kurumu Başkanı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AB089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Tebliğin Yayımlandığı Resmî Gazete'nin</w:t>
                        </w:r>
                      </w:p>
                    </w:tc>
                  </w:tr>
                  <w:tr w:rsidR="00AB089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Sayısı</w:t>
                        </w:r>
                      </w:p>
                    </w:tc>
                  </w:tr>
                  <w:tr w:rsidR="00AB089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proofErr w:type="gramStart"/>
                        <w:r>
                          <w:rPr>
                            <w:rFonts w:ascii="Times New Roman" w:hAnsi="Times New Roman"/>
                            <w:sz w:val="18"/>
                            <w:szCs w:val="18"/>
                            <w:lang w:eastAsia="tr-TR"/>
                          </w:rPr>
                          <w:t>24/4/2013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28627</w:t>
                        </w:r>
                      </w:p>
                    </w:tc>
                  </w:tr>
                  <w:tr w:rsidR="00AB089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Tebliğde Değişiklik Yapan Tebliğlerin Yayımlandığı Resmî Gazete'nin</w:t>
                        </w:r>
                      </w:p>
                    </w:tc>
                  </w:tr>
                  <w:tr w:rsidR="00AB089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b/>
                            <w:bCs/>
                            <w:sz w:val="18"/>
                            <w:szCs w:val="18"/>
                            <w:lang w:eastAsia="tr-TR"/>
                          </w:rPr>
                          <w:t>Sayısı</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29/6/2013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28692</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5/6/2014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29021</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28/12/2014</w:t>
                        </w:r>
                        <w:proofErr w:type="gramEnd"/>
                        <w:r>
                          <w:rPr>
                            <w:rFonts w:ascii="Times New Roman" w:hAnsi="Times New Roman"/>
                            <w:sz w:val="18"/>
                            <w:szCs w:val="18"/>
                            <w:lang w:eastAsia="tr-TR"/>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 29219</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18/3/2015</w:t>
                        </w:r>
                        <w:proofErr w:type="gramEnd"/>
                        <w:r>
                          <w:rPr>
                            <w:rFonts w:ascii="Times New Roman" w:hAnsi="Times New Roman"/>
                            <w:sz w:val="18"/>
                            <w:szCs w:val="18"/>
                            <w:lang w:eastAsia="tr-TR"/>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 29299</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31/12/2015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29579</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1/7/2016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29759</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31/12/2016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                      29935 (3. Mükerrer)</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10/3/2017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30003</w:t>
                        </w:r>
                      </w:p>
                    </w:tc>
                  </w:tr>
                  <w:tr w:rsidR="00AB08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898" w:rsidRDefault="00AB0898">
                        <w:pPr>
                          <w:spacing w:before="100" w:beforeAutospacing="1" w:after="100" w:afterAutospacing="1" w:line="240" w:lineRule="atLeast"/>
                          <w:jc w:val="center"/>
                          <w:rPr>
                            <w:rFonts w:ascii="Times New Roman" w:hAnsi="Times New Roman"/>
                            <w:sz w:val="24"/>
                            <w:szCs w:val="24"/>
                            <w:lang w:eastAsia="tr-TR"/>
                          </w:rPr>
                        </w:pPr>
                        <w:r>
                          <w:rPr>
                            <w:rFonts w:ascii="Times New Roman" w:hAnsi="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ind w:right="397"/>
                          <w:jc w:val="center"/>
                          <w:rPr>
                            <w:rFonts w:ascii="Times New Roman" w:hAnsi="Times New Roman"/>
                            <w:sz w:val="24"/>
                            <w:szCs w:val="24"/>
                            <w:lang w:eastAsia="tr-TR"/>
                          </w:rPr>
                        </w:pPr>
                        <w:proofErr w:type="gramStart"/>
                        <w:r>
                          <w:rPr>
                            <w:rFonts w:ascii="Times New Roman" w:hAnsi="Times New Roman"/>
                            <w:sz w:val="18"/>
                            <w:szCs w:val="18"/>
                            <w:lang w:eastAsia="tr-TR"/>
                          </w:rPr>
                          <w:t>8/9/2017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0898" w:rsidRDefault="00AB0898">
                        <w:pPr>
                          <w:spacing w:line="240" w:lineRule="atLeast"/>
                          <w:jc w:val="center"/>
                          <w:rPr>
                            <w:rFonts w:ascii="Times New Roman" w:hAnsi="Times New Roman"/>
                            <w:sz w:val="24"/>
                            <w:szCs w:val="24"/>
                            <w:lang w:eastAsia="tr-TR"/>
                          </w:rPr>
                        </w:pPr>
                        <w:r>
                          <w:rPr>
                            <w:rFonts w:ascii="Times New Roman" w:hAnsi="Times New Roman"/>
                            <w:sz w:val="18"/>
                            <w:szCs w:val="18"/>
                            <w:lang w:eastAsia="tr-TR"/>
                          </w:rPr>
                          <w:t>30174</w:t>
                        </w:r>
                      </w:p>
                    </w:tc>
                  </w:tr>
                </w:tbl>
                <w:p w:rsidR="00AB0898" w:rsidRDefault="00AB0898">
                  <w:pPr>
                    <w:jc w:val="center"/>
                    <w:rPr>
                      <w:rFonts w:ascii="Times New Roman" w:eastAsia="Times New Roman" w:hAnsi="Times New Roman"/>
                      <w:sz w:val="20"/>
                      <w:szCs w:val="20"/>
                      <w:lang w:eastAsia="tr-TR"/>
                    </w:rPr>
                  </w:pPr>
                </w:p>
              </w:tc>
            </w:tr>
          </w:tbl>
          <w:p w:rsidR="00AB0898" w:rsidRDefault="00AB0898">
            <w:pPr>
              <w:jc w:val="center"/>
              <w:rPr>
                <w:rFonts w:ascii="Times New Roman" w:eastAsia="Times New Roman" w:hAnsi="Times New Roman"/>
                <w:sz w:val="20"/>
                <w:szCs w:val="20"/>
                <w:lang w:eastAsia="tr-TR"/>
              </w:rPr>
            </w:pPr>
          </w:p>
        </w:tc>
      </w:tr>
    </w:tbl>
    <w:p w:rsidR="00AB0898" w:rsidRDefault="00AB0898" w:rsidP="00AB0898">
      <w:pPr>
        <w:jc w:val="center"/>
        <w:rPr>
          <w:rFonts w:ascii="Times New Roman" w:hAnsi="Times New Roman"/>
          <w:color w:val="000000"/>
          <w:sz w:val="27"/>
          <w:szCs w:val="27"/>
          <w:lang w:eastAsia="tr-TR"/>
        </w:rPr>
      </w:pPr>
      <w:r>
        <w:rPr>
          <w:rFonts w:ascii="Times New Roman" w:hAnsi="Times New Roman"/>
          <w:color w:val="000000"/>
          <w:sz w:val="27"/>
          <w:szCs w:val="27"/>
          <w:lang w:eastAsia="tr-TR"/>
        </w:rPr>
        <w:t> </w:t>
      </w:r>
    </w:p>
    <w:p w:rsidR="00AB0898" w:rsidRDefault="00AB0898" w:rsidP="00AB0898"/>
    <w:p w:rsidR="00AB0898" w:rsidRDefault="00AB0898" w:rsidP="00AB0898"/>
    <w:p w:rsidR="00AB0898" w:rsidRDefault="00AB0898" w:rsidP="00AB0898">
      <w:pPr>
        <w:jc w:val="center"/>
        <w:rPr>
          <w:rFonts w:ascii="Arial" w:hAnsi="Arial" w:cs="Arial"/>
          <w:sz w:val="16"/>
          <w:szCs w:val="16"/>
          <w:lang w:eastAsia="tr-TR"/>
        </w:rPr>
      </w:pPr>
      <w:r>
        <w:rPr>
          <w:rFonts w:ascii="Arial" w:hAnsi="Arial" w:cs="Arial"/>
          <w:sz w:val="16"/>
          <w:szCs w:val="16"/>
          <w:lang w:eastAsia="tr-TR"/>
        </w:rPr>
        <w:t>Formun Üstü</w:t>
      </w:r>
    </w:p>
    <w:p w:rsidR="00AB0898" w:rsidRDefault="00AB0898" w:rsidP="00AB0898">
      <w:pPr>
        <w:spacing w:after="150"/>
        <w:rPr>
          <w:rFonts w:ascii="Arial" w:hAnsi="Arial" w:cs="Arial"/>
          <w:color w:val="000000"/>
          <w:sz w:val="21"/>
          <w:szCs w:val="21"/>
          <w:lang w:eastAsia="tr-TR"/>
        </w:rPr>
      </w:pPr>
      <w:r>
        <w:rPr>
          <w:rFonts w:ascii="Arial" w:hAnsi="Arial" w:cs="Arial"/>
          <w:color w:val="000000"/>
          <w:sz w:val="21"/>
          <w:szCs w:val="21"/>
          <w:lang w:eastAsia="tr-TR"/>
        </w:rPr>
        <w:t> </w:t>
      </w:r>
      <w:bookmarkStart w:id="0" w:name="Ek1"/>
      <w:r>
        <w:rPr>
          <w:rFonts w:ascii="Arial" w:hAnsi="Arial" w:cs="Arial"/>
          <w:color w:val="337AB7"/>
          <w:sz w:val="21"/>
          <w:szCs w:val="21"/>
          <w:lang w:eastAsia="tr-TR"/>
        </w:rPr>
        <w:t>Ek-1</w:t>
      </w:r>
      <w:bookmarkEnd w:id="0"/>
    </w:p>
    <w:p w:rsidR="00AB0898" w:rsidRDefault="00AB0898" w:rsidP="00AB0898">
      <w:pPr>
        <w:jc w:val="center"/>
        <w:rPr>
          <w:rFonts w:ascii="Arial" w:hAnsi="Arial" w:cs="Arial"/>
          <w:sz w:val="16"/>
          <w:szCs w:val="16"/>
          <w:lang w:eastAsia="tr-TR"/>
        </w:rPr>
      </w:pPr>
      <w:r>
        <w:rPr>
          <w:rFonts w:ascii="Arial" w:hAnsi="Arial" w:cs="Arial"/>
          <w:sz w:val="16"/>
          <w:szCs w:val="16"/>
          <w:lang w:eastAsia="tr-TR"/>
        </w:rPr>
        <w:t>Formun Altı</w:t>
      </w:r>
    </w:p>
    <w:p w:rsidR="00AB0898" w:rsidRDefault="00AB0898" w:rsidP="00AB0898">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Akaryakıt Haricinde Kalan Petrol Ürünleri-1</w:t>
      </w:r>
      <w:r>
        <w:rPr>
          <w:rFonts w:ascii="Arial" w:hAnsi="Arial" w:cs="Arial"/>
          <w:b/>
          <w:bCs/>
          <w:color w:val="000000"/>
          <w:sz w:val="21"/>
          <w:szCs w:val="21"/>
          <w:lang w:eastAsia="tr-TR"/>
        </w:rPr>
        <w:b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gramStart"/>
            <w:r>
              <w:rPr>
                <w:rFonts w:ascii="Arial" w:hAnsi="Arial" w:cs="Arial"/>
                <w:b/>
                <w:bCs/>
                <w:sz w:val="21"/>
                <w:szCs w:val="21"/>
                <w:lang w:eastAsia="tr-TR"/>
              </w:rPr>
              <w:lastRenderedPageBreak/>
              <w:t>G.T.İ</w:t>
            </w:r>
            <w:proofErr w:type="gramEnd"/>
            <w:r>
              <w:rPr>
                <w:rFonts w:ascii="Arial" w:hAnsi="Arial" w:cs="Arial"/>
                <w:b/>
                <w:bCs/>
                <w:sz w:val="21"/>
                <w:szCs w:val="21"/>
                <w:lang w:eastAsia="tr-TR"/>
              </w:rPr>
              <w:t xml:space="preserve">.P. </w:t>
            </w:r>
            <w:proofErr w:type="spellStart"/>
            <w:r>
              <w:rPr>
                <w:rFonts w:ascii="Arial" w:hAnsi="Arial" w:cs="Arial"/>
                <w:b/>
                <w:bCs/>
                <w:sz w:val="21"/>
                <w:szCs w:val="21"/>
                <w:lang w:eastAsia="tr-TR"/>
              </w:rPr>
              <w:t>Nosu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b/>
                <w:bCs/>
                <w:sz w:val="21"/>
                <w:szCs w:val="21"/>
                <w:lang w:eastAsia="tr-TR"/>
              </w:rPr>
              <w:t>Tanımı</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2707.10.00.00.00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Benzol(benzen)</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2707.20.00.00.00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Toluol</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toluen</w:t>
            </w:r>
            <w:proofErr w:type="spellEnd"/>
            <w:r>
              <w:rPr>
                <w:rFonts w:ascii="Arial" w:hAnsi="Arial" w:cs="Arial"/>
                <w:sz w:val="21"/>
                <w:szCs w:val="21"/>
                <w:lang w:eastAsia="tr-TR"/>
              </w:rPr>
              <w:t>)</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2707.50.00.00.11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Solvent</w:t>
            </w:r>
            <w:proofErr w:type="spellEnd"/>
            <w:r>
              <w:rPr>
                <w:rFonts w:ascii="Arial" w:hAnsi="Arial" w:cs="Arial"/>
                <w:sz w:val="21"/>
                <w:szCs w:val="21"/>
                <w:lang w:eastAsia="tr-TR"/>
              </w:rPr>
              <w:t xml:space="preserve"> nafta (çözücü nafta)</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2707.99.99.00.00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2710.12.11.00.00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Özel bir işleme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2710.12.15.00.19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2710.12.21.00.00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White </w:t>
            </w:r>
            <w:proofErr w:type="spellStart"/>
            <w:r>
              <w:rPr>
                <w:rFonts w:ascii="Arial" w:hAnsi="Arial" w:cs="Arial"/>
                <w:sz w:val="21"/>
                <w:szCs w:val="21"/>
                <w:lang w:eastAsia="tr-TR"/>
              </w:rPr>
              <w:t>spirit</w:t>
            </w:r>
            <w:proofErr w:type="spellEnd"/>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2710.12.41.00.00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Oktanı (RON) 95’den az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2710.12.45.00.18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2710.12.49.00.18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2710.12.51.00.00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Oktanı (RON) 98’den az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2710.12.59.00.00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Oktanı (RON) 98 veya daha fazla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2710.12.90.00.11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Diğer </w:t>
            </w:r>
            <w:proofErr w:type="spellStart"/>
            <w:r>
              <w:rPr>
                <w:rFonts w:ascii="Arial" w:hAnsi="Arial" w:cs="Arial"/>
                <w:sz w:val="21"/>
                <w:szCs w:val="21"/>
                <w:lang w:eastAsia="tr-TR"/>
              </w:rPr>
              <w:t>solventler</w:t>
            </w:r>
            <w:proofErr w:type="spellEnd"/>
            <w:r>
              <w:rPr>
                <w:rFonts w:ascii="Arial" w:hAnsi="Arial" w:cs="Arial"/>
                <w:sz w:val="21"/>
                <w:szCs w:val="21"/>
                <w:lang w:eastAsia="tr-TR"/>
              </w:rPr>
              <w:t xml:space="preserve"> (çözücüler)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2710.12.90.00.19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2710.19.11.00.00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Özel bir işleme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2710.19.11.00 Alt pozisyonunda belirtilen işlemlerden başka bir işlemle kimyasal değişime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2710.19.25.00.19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2710.19.29.00.00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2710.19.31.00.00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Özel bir işleme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2710.19.35.00.00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2710.19.31.00 Alt pozisyonunda belirtilen işlemlerden başka bir işlemle kimyasal değişime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2710.19.43.00.29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2710.19.46.00.29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2710.19.47.00.19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2710.19.48.00.18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2710.19.51.00.00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Özel bir işleme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2710.19.55.00.00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2710.19.51.00 alt pozisyonunda belirtilen işlemlerden başka bir işlemle kimyasal değişime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2710.19.62.00.39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2710.19.64.00.39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2710.19.68.00.39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2710.19.71.00.00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Özel bir işleme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2710.19.75.00.00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2710.19.71.00 Alt pozisyonunda belirtilen işlemlerden başka bir işlemle kimyasal değişime tabi tutulacak olanlar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2710.19.99.00.11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Spindle</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Oil</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Light</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Neutral</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Heavy</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Neutral</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Bright</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Stock</w:t>
            </w:r>
            <w:proofErr w:type="spellEnd"/>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2710.19.99.00.98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2710.20.11.00.19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Ağırlık itibariyle kükürt oranı % 0,001 ’i geçen fakat % 0,002’yi geçmeyenler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2710.20.17.00.00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Ağırlık itibariyle kükürt oranı % 0,002’yi geçen fakat % 0,1’i geçmeyenler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2710.20.19.00.00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Ağırlık itibariyle kükürt oranı % 0,1 ’i geçenler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2710.20.31.00.00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Ağırlık itibariyle kükürt oranı % 0,1’i geçmeyenler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2710.20.35.00.00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Ağırlık itibariyle kükürt oranı % 0,1’i geçen fakat % </w:t>
            </w:r>
            <w:proofErr w:type="spellStart"/>
            <w:r>
              <w:rPr>
                <w:rFonts w:ascii="Arial" w:hAnsi="Arial" w:cs="Arial"/>
                <w:sz w:val="21"/>
                <w:szCs w:val="21"/>
                <w:lang w:eastAsia="tr-TR"/>
              </w:rPr>
              <w:t>l’i</w:t>
            </w:r>
            <w:proofErr w:type="spellEnd"/>
            <w:r>
              <w:rPr>
                <w:rFonts w:ascii="Arial" w:hAnsi="Arial" w:cs="Arial"/>
                <w:sz w:val="21"/>
                <w:szCs w:val="21"/>
                <w:lang w:eastAsia="tr-TR"/>
              </w:rPr>
              <w:t xml:space="preserve"> geçmeyenler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2710.20.39.00.00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Ağırlık itibariyle kükürt oranı % 1' i geçenler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2710.20.90.00.00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 yağlar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2901.10.00.90.11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Hekzan</w:t>
            </w:r>
            <w:proofErr w:type="spellEnd"/>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2901.10.00.90.12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Heptan</w:t>
            </w:r>
            <w:proofErr w:type="spellEnd"/>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2901.10.00.90.13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Pentan</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2902.11.00.00.00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Siklohekzan</w:t>
            </w:r>
            <w:proofErr w:type="spellEnd"/>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2902.20.00.00.00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Benzen (benzol)</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lastRenderedPageBreak/>
              <w:t>2902.30.00.00.00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Toluen</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toluol</w:t>
            </w:r>
            <w:proofErr w:type="spellEnd"/>
            <w:r>
              <w:rPr>
                <w:rFonts w:ascii="Arial" w:hAnsi="Arial" w:cs="Arial"/>
                <w:sz w:val="21"/>
                <w:szCs w:val="21"/>
                <w:lang w:eastAsia="tr-TR"/>
              </w:rPr>
              <w:t>)</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2902.41.00.00.00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gramStart"/>
            <w:r>
              <w:rPr>
                <w:rFonts w:ascii="Arial" w:hAnsi="Arial" w:cs="Arial"/>
                <w:sz w:val="21"/>
                <w:szCs w:val="21"/>
                <w:lang w:eastAsia="tr-TR"/>
              </w:rPr>
              <w:t>o</w:t>
            </w:r>
            <w:proofErr w:type="gramEnd"/>
            <w:r>
              <w:rPr>
                <w:rFonts w:ascii="Arial" w:hAnsi="Arial" w:cs="Arial"/>
                <w:sz w:val="21"/>
                <w:szCs w:val="21"/>
                <w:lang w:eastAsia="tr-TR"/>
              </w:rPr>
              <w:t>-</w:t>
            </w:r>
            <w:proofErr w:type="spellStart"/>
            <w:r>
              <w:rPr>
                <w:rFonts w:ascii="Arial" w:hAnsi="Arial" w:cs="Arial"/>
                <w:sz w:val="21"/>
                <w:szCs w:val="21"/>
                <w:lang w:eastAsia="tr-TR"/>
              </w:rPr>
              <w:t>Ksilen</w:t>
            </w:r>
            <w:proofErr w:type="spellEnd"/>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2902.42.00.00.00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gramStart"/>
            <w:r>
              <w:rPr>
                <w:rFonts w:ascii="Arial" w:hAnsi="Arial" w:cs="Arial"/>
                <w:sz w:val="21"/>
                <w:szCs w:val="21"/>
                <w:lang w:eastAsia="tr-TR"/>
              </w:rPr>
              <w:t>m</w:t>
            </w:r>
            <w:proofErr w:type="gramEnd"/>
            <w:r>
              <w:rPr>
                <w:rFonts w:ascii="Arial" w:hAnsi="Arial" w:cs="Arial"/>
                <w:sz w:val="21"/>
                <w:szCs w:val="21"/>
                <w:lang w:eastAsia="tr-TR"/>
              </w:rPr>
              <w:t>-</w:t>
            </w:r>
            <w:proofErr w:type="spellStart"/>
            <w:r>
              <w:rPr>
                <w:rFonts w:ascii="Arial" w:hAnsi="Arial" w:cs="Arial"/>
                <w:sz w:val="21"/>
                <w:szCs w:val="21"/>
                <w:lang w:eastAsia="tr-TR"/>
              </w:rPr>
              <w:t>Ksilen</w:t>
            </w:r>
            <w:proofErr w:type="spellEnd"/>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2902.44.00.00.00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proofErr w:type="spellStart"/>
            <w:r>
              <w:rPr>
                <w:rFonts w:ascii="Arial" w:hAnsi="Arial" w:cs="Arial"/>
                <w:sz w:val="21"/>
                <w:szCs w:val="21"/>
                <w:lang w:eastAsia="tr-TR"/>
              </w:rPr>
              <w:t>Ksilen</w:t>
            </w:r>
            <w:proofErr w:type="spellEnd"/>
            <w:r>
              <w:rPr>
                <w:rFonts w:ascii="Arial" w:hAnsi="Arial" w:cs="Arial"/>
                <w:sz w:val="21"/>
                <w:szCs w:val="21"/>
                <w:lang w:eastAsia="tr-TR"/>
              </w:rPr>
              <w:t xml:space="preserve"> izomerleri karışımları</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2909.19.90.00.13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Metil tersiyer </w:t>
            </w:r>
            <w:proofErr w:type="spellStart"/>
            <w:r>
              <w:rPr>
                <w:rFonts w:ascii="Arial" w:hAnsi="Arial" w:cs="Arial"/>
                <w:sz w:val="21"/>
                <w:szCs w:val="21"/>
                <w:lang w:eastAsia="tr-TR"/>
              </w:rPr>
              <w:t>bütil</w:t>
            </w:r>
            <w:proofErr w:type="spellEnd"/>
            <w:r>
              <w:rPr>
                <w:rFonts w:ascii="Arial" w:hAnsi="Arial" w:cs="Arial"/>
                <w:sz w:val="21"/>
                <w:szCs w:val="21"/>
                <w:lang w:eastAsia="tr-TR"/>
              </w:rPr>
              <w:t xml:space="preserve"> eter (MTBE)</w:t>
            </w:r>
          </w:p>
        </w:tc>
      </w:tr>
    </w:tbl>
    <w:p w:rsidR="00AB0898" w:rsidRDefault="00AB0898" w:rsidP="00AB0898">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p w:rsidR="00AB0898" w:rsidRDefault="00AB0898" w:rsidP="00AB0898">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pict>
          <v:rect id="_x0000_i1025" style="width:453.6pt;height:.75pt" o:hralign="center" o:hrstd="t" o:hrnoshade="t" o:hr="t" fillcolor="black" stroked="f"/>
        </w:pict>
      </w:r>
    </w:p>
    <w:p w:rsidR="00AB0898" w:rsidRDefault="00AB0898" w:rsidP="00AB0898">
      <w:pPr>
        <w:jc w:val="center"/>
        <w:rPr>
          <w:rFonts w:ascii="Arial" w:hAnsi="Arial" w:cs="Arial"/>
          <w:sz w:val="16"/>
          <w:szCs w:val="16"/>
          <w:lang w:eastAsia="tr-TR"/>
        </w:rPr>
      </w:pPr>
      <w:r>
        <w:rPr>
          <w:rFonts w:ascii="Arial" w:hAnsi="Arial" w:cs="Arial"/>
          <w:sz w:val="16"/>
          <w:szCs w:val="16"/>
          <w:lang w:eastAsia="tr-TR"/>
        </w:rPr>
        <w:t>Formun Üstü</w:t>
      </w:r>
    </w:p>
    <w:p w:rsidR="00AB0898" w:rsidRDefault="00AB0898" w:rsidP="00AB0898">
      <w:pPr>
        <w:spacing w:after="150"/>
        <w:rPr>
          <w:rFonts w:ascii="Arial" w:hAnsi="Arial" w:cs="Arial"/>
          <w:color w:val="000000"/>
          <w:sz w:val="21"/>
          <w:szCs w:val="21"/>
          <w:lang w:eastAsia="tr-TR"/>
        </w:rPr>
      </w:pPr>
      <w:bookmarkStart w:id="1" w:name="Ek2"/>
      <w:r>
        <w:rPr>
          <w:rFonts w:ascii="Arial" w:hAnsi="Arial" w:cs="Arial"/>
          <w:color w:val="337AB7"/>
          <w:sz w:val="21"/>
          <w:szCs w:val="21"/>
          <w:lang w:eastAsia="tr-TR"/>
        </w:rPr>
        <w:t>Ek-2</w:t>
      </w:r>
      <w:bookmarkEnd w:id="1"/>
    </w:p>
    <w:p w:rsidR="00AB0898" w:rsidRDefault="00AB0898" w:rsidP="00AB0898">
      <w:pPr>
        <w:jc w:val="center"/>
        <w:rPr>
          <w:rFonts w:ascii="Arial" w:hAnsi="Arial" w:cs="Arial"/>
          <w:sz w:val="16"/>
          <w:szCs w:val="16"/>
          <w:lang w:eastAsia="tr-TR"/>
        </w:rPr>
      </w:pPr>
      <w:r>
        <w:rPr>
          <w:rFonts w:ascii="Arial" w:hAnsi="Arial" w:cs="Arial"/>
          <w:sz w:val="16"/>
          <w:szCs w:val="16"/>
          <w:lang w:eastAsia="tr-TR"/>
        </w:rPr>
        <w:t>Formun Altı</w:t>
      </w:r>
    </w:p>
    <w:p w:rsidR="00AB0898" w:rsidRDefault="00AB0898" w:rsidP="00AB0898">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Akaryakıt Haricinde Kalan Petrol Ürünleri-2</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b/>
                <w:bCs/>
                <w:sz w:val="21"/>
                <w:szCs w:val="21"/>
                <w:lang w:eastAsia="tr-TR"/>
              </w:rPr>
              <w:t>GTİP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b/>
                <w:bCs/>
                <w:sz w:val="21"/>
                <w:szCs w:val="21"/>
                <w:lang w:eastAsia="tr-TR"/>
              </w:rPr>
              <w:t>Ürün Tanımı</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2710.19.81.00.00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Motor yağları, kompresör yağlama yağları, türbin yağlama yağları</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2710.19.83.00.00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Hidrolik amaçlara mahsus sıvı yağlar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2710.19.85.00.00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Beyaz yağlar, sıvı parafın</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2710.19.87.00.00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Dişli yağları ve </w:t>
            </w:r>
            <w:proofErr w:type="spellStart"/>
            <w:r>
              <w:rPr>
                <w:rFonts w:ascii="Arial" w:hAnsi="Arial" w:cs="Arial"/>
                <w:sz w:val="21"/>
                <w:szCs w:val="21"/>
                <w:lang w:eastAsia="tr-TR"/>
              </w:rPr>
              <w:t>redüktör</w:t>
            </w:r>
            <w:proofErr w:type="spellEnd"/>
            <w:r>
              <w:rPr>
                <w:rFonts w:ascii="Arial" w:hAnsi="Arial" w:cs="Arial"/>
                <w:sz w:val="21"/>
                <w:szCs w:val="21"/>
                <w:lang w:eastAsia="tr-TR"/>
              </w:rPr>
              <w:t xml:space="preserve"> yağları</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2710.19.91.00.00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Metal işlemeye mahsus bileşikler kalıp çıkarma yağları</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2710.19.93.00.00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Elektrik </w:t>
            </w:r>
            <w:proofErr w:type="gramStart"/>
            <w:r>
              <w:rPr>
                <w:rFonts w:ascii="Arial" w:hAnsi="Arial" w:cs="Arial"/>
                <w:sz w:val="21"/>
                <w:szCs w:val="21"/>
                <w:lang w:eastAsia="tr-TR"/>
              </w:rPr>
              <w:t>izolasyonuna</w:t>
            </w:r>
            <w:proofErr w:type="gramEnd"/>
            <w:r>
              <w:rPr>
                <w:rFonts w:ascii="Arial" w:hAnsi="Arial" w:cs="Arial"/>
                <w:sz w:val="21"/>
                <w:szCs w:val="21"/>
                <w:lang w:eastAsia="tr-TR"/>
              </w:rPr>
              <w:t xml:space="preserve"> mahsus yağlar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2710.19.99.00.25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 Madeni Yağlar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3403.11.00.00.00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Dokumaya elverişli maddelerin, deri ve köselenin, post ve kürklerin veya diğer maddelerin işlenmesine mahsus müstahzarlar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3403.19.10.00.00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Esas madde olarak kabul edilmemek şartıyla, ağırlık itibariyle %70 veya daha fazla petrol yağları veya </w:t>
            </w:r>
            <w:proofErr w:type="spellStart"/>
            <w:r>
              <w:rPr>
                <w:rFonts w:ascii="Arial" w:hAnsi="Arial" w:cs="Arial"/>
                <w:sz w:val="21"/>
                <w:szCs w:val="21"/>
                <w:lang w:eastAsia="tr-TR"/>
              </w:rPr>
              <w:t>bitümenli</w:t>
            </w:r>
            <w:proofErr w:type="spellEnd"/>
            <w:r>
              <w:rPr>
                <w:rFonts w:ascii="Arial" w:hAnsi="Arial" w:cs="Arial"/>
                <w:sz w:val="21"/>
                <w:szCs w:val="21"/>
                <w:lang w:eastAsia="tr-TR"/>
              </w:rPr>
              <w:t xml:space="preserve"> minerallerden elde edilen yağları içerenler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3403.19.20.00.00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 xml:space="preserve">Hacim olarak en az %25 </w:t>
            </w:r>
            <w:proofErr w:type="spellStart"/>
            <w:r>
              <w:rPr>
                <w:rFonts w:ascii="Arial" w:hAnsi="Arial" w:cs="Arial"/>
                <w:sz w:val="21"/>
                <w:szCs w:val="21"/>
                <w:lang w:eastAsia="tr-TR"/>
              </w:rPr>
              <w:t>biyo</w:t>
            </w:r>
            <w:proofErr w:type="spellEnd"/>
            <w:r>
              <w:rPr>
                <w:rFonts w:ascii="Arial" w:hAnsi="Arial" w:cs="Arial"/>
                <w:sz w:val="21"/>
                <w:szCs w:val="21"/>
                <w:lang w:eastAsia="tr-TR"/>
              </w:rPr>
              <w:t xml:space="preserve"> temelli karbon içeriğine sahip ve en az %60’a kadar geri dönüştürülebilir yağlayıcılar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3403.19.80.00.00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3403.91.00.00.00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Dokumaya elverişli maddelerin, deri ve köselenin, post ve kürklerin veya diğer maddelerin işlenmesine mahsus müstahzarlar</w:t>
            </w:r>
          </w:p>
        </w:tc>
      </w:tr>
      <w:tr w:rsidR="00AB0898" w:rsidTr="00AB08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3403.99.00.00.00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898" w:rsidRDefault="00AB0898">
            <w:pPr>
              <w:rPr>
                <w:rFonts w:ascii="Arial" w:hAnsi="Arial" w:cs="Arial"/>
                <w:sz w:val="21"/>
                <w:szCs w:val="21"/>
                <w:lang w:eastAsia="tr-TR"/>
              </w:rPr>
            </w:pPr>
            <w:r>
              <w:rPr>
                <w:rFonts w:ascii="Arial" w:hAnsi="Arial" w:cs="Arial"/>
                <w:sz w:val="21"/>
                <w:szCs w:val="21"/>
                <w:lang w:eastAsia="tr-TR"/>
              </w:rPr>
              <w:t>Diğerleri</w:t>
            </w:r>
          </w:p>
        </w:tc>
      </w:tr>
    </w:tbl>
    <w:p w:rsidR="00CD2BB5" w:rsidRDefault="00CD2BB5">
      <w:bookmarkStart w:id="2" w:name="_GoBack"/>
      <w:bookmarkEnd w:id="2"/>
    </w:p>
    <w:sectPr w:rsidR="00CD2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98"/>
    <w:rsid w:val="00AB0898"/>
    <w:rsid w:val="00CD2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C08F7-79DC-41DE-A46E-778CBCA5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9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5482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Santral</dc:creator>
  <cp:keywords/>
  <dc:description/>
  <cp:lastModifiedBy>Santral</cp:lastModifiedBy>
  <cp:revision>1</cp:revision>
  <dcterms:created xsi:type="dcterms:W3CDTF">2019-02-22T07:42:00Z</dcterms:created>
  <dcterms:modified xsi:type="dcterms:W3CDTF">2019-02-22T07:53:00Z</dcterms:modified>
</cp:coreProperties>
</file>