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B94C40" w:rsidTr="00B94C4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94C4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94C40" w:rsidRDefault="00B94C40">
                  <w:pPr>
                    <w:spacing w:line="240" w:lineRule="atLeast"/>
                    <w:rPr>
                      <w:rFonts w:ascii="Times New Roman" w:hAnsi="Times New Roman"/>
                      <w:sz w:val="24"/>
                      <w:szCs w:val="24"/>
                      <w:lang w:eastAsia="tr-TR"/>
                    </w:rPr>
                  </w:pPr>
                  <w:r>
                    <w:rPr>
                      <w:rFonts w:ascii="Arial" w:hAnsi="Arial" w:cs="Arial"/>
                      <w:sz w:val="16"/>
                      <w:szCs w:val="16"/>
                      <w:lang w:eastAsia="tr-TR"/>
                    </w:rPr>
                    <w:t>23 Ocak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94C40" w:rsidRDefault="00B94C40">
                  <w:pPr>
                    <w:spacing w:line="240" w:lineRule="atLeast"/>
                    <w:jc w:val="center"/>
                    <w:rPr>
                      <w:rFonts w:ascii="Times New Roman" w:hAnsi="Times New Roman"/>
                      <w:sz w:val="24"/>
                      <w:szCs w:val="24"/>
                      <w:lang w:eastAsia="tr-TR"/>
                    </w:rPr>
                  </w:pPr>
                  <w:r>
                    <w:rPr>
                      <w:rFonts w:ascii="Palatino Linotype" w:hAnsi="Palatino Linotype"/>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94C40" w:rsidRDefault="00B94C40">
                  <w:pPr>
                    <w:spacing w:before="100" w:beforeAutospacing="1" w:after="100" w:afterAutospacing="1"/>
                    <w:jc w:val="right"/>
                    <w:rPr>
                      <w:rFonts w:ascii="Times New Roman" w:hAnsi="Times New Roman"/>
                      <w:sz w:val="24"/>
                      <w:szCs w:val="24"/>
                      <w:lang w:eastAsia="tr-TR"/>
                    </w:rPr>
                  </w:pPr>
                  <w:proofErr w:type="gramStart"/>
                  <w:r>
                    <w:rPr>
                      <w:rFonts w:ascii="Arial" w:hAnsi="Arial" w:cs="Arial"/>
                      <w:sz w:val="16"/>
                      <w:szCs w:val="16"/>
                      <w:lang w:eastAsia="tr-TR"/>
                    </w:rPr>
                    <w:t>Sayı : 30664</w:t>
                  </w:r>
                  <w:proofErr w:type="gramEnd"/>
                </w:p>
              </w:tc>
            </w:tr>
            <w:tr w:rsidR="00B94C40">
              <w:trPr>
                <w:trHeight w:val="480"/>
                <w:jc w:val="center"/>
              </w:trPr>
              <w:tc>
                <w:tcPr>
                  <w:tcW w:w="8789" w:type="dxa"/>
                  <w:gridSpan w:val="3"/>
                  <w:tcMar>
                    <w:top w:w="0" w:type="dxa"/>
                    <w:left w:w="108" w:type="dxa"/>
                    <w:bottom w:w="0" w:type="dxa"/>
                    <w:right w:w="108" w:type="dxa"/>
                  </w:tcMar>
                  <w:vAlign w:val="center"/>
                  <w:hideMark/>
                </w:tcPr>
                <w:p w:rsidR="00B94C40" w:rsidRDefault="00B94C40">
                  <w:pPr>
                    <w:spacing w:before="100" w:beforeAutospacing="1" w:after="100" w:afterAutospacing="1"/>
                    <w:jc w:val="center"/>
                    <w:rPr>
                      <w:rFonts w:ascii="Times New Roman" w:hAnsi="Times New Roman"/>
                      <w:sz w:val="24"/>
                      <w:szCs w:val="24"/>
                      <w:lang w:eastAsia="tr-TR"/>
                    </w:rPr>
                  </w:pPr>
                  <w:r>
                    <w:rPr>
                      <w:rFonts w:ascii="Arial" w:hAnsi="Arial" w:cs="Arial"/>
                      <w:b/>
                      <w:bCs/>
                      <w:color w:val="000080"/>
                      <w:sz w:val="18"/>
                      <w:szCs w:val="18"/>
                      <w:lang w:eastAsia="tr-TR"/>
                    </w:rPr>
                    <w:t>TEBLİĞ</w:t>
                  </w:r>
                </w:p>
              </w:tc>
            </w:tr>
            <w:tr w:rsidR="00B94C40">
              <w:trPr>
                <w:trHeight w:val="480"/>
                <w:jc w:val="center"/>
              </w:trPr>
              <w:tc>
                <w:tcPr>
                  <w:tcW w:w="8789" w:type="dxa"/>
                  <w:gridSpan w:val="3"/>
                  <w:tcMar>
                    <w:top w:w="0" w:type="dxa"/>
                    <w:left w:w="108" w:type="dxa"/>
                    <w:bottom w:w="0" w:type="dxa"/>
                    <w:right w:w="108" w:type="dxa"/>
                  </w:tcMar>
                  <w:vAlign w:val="center"/>
                  <w:hideMark/>
                </w:tcPr>
                <w:p w:rsidR="00B94C40" w:rsidRDefault="00B94C40">
                  <w:pPr>
                    <w:spacing w:line="240" w:lineRule="atLeast"/>
                    <w:ind w:firstLine="566"/>
                    <w:jc w:val="both"/>
                    <w:rPr>
                      <w:rFonts w:ascii="Times New Roman" w:hAnsi="Times New Roman"/>
                      <w:u w:val="single"/>
                      <w:lang w:eastAsia="tr-TR"/>
                    </w:rPr>
                  </w:pPr>
                  <w:r>
                    <w:rPr>
                      <w:rFonts w:ascii="Times New Roman" w:hAnsi="Times New Roman"/>
                      <w:sz w:val="18"/>
                      <w:szCs w:val="18"/>
                      <w:u w:val="single"/>
                      <w:lang w:eastAsia="tr-TR"/>
                    </w:rPr>
                    <w:t>Ticaret Bakanlığından:</w:t>
                  </w:r>
                </w:p>
                <w:p w:rsidR="00B94C40" w:rsidRDefault="00B94C40">
                  <w:pPr>
                    <w:spacing w:before="56"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GÜMRÜK GENEL TEBLİĞİ</w:t>
                  </w:r>
                </w:p>
                <w:p w:rsidR="00B94C40" w:rsidRDefault="00B94C40">
                  <w:pPr>
                    <w:spacing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(VARIŞ ÖNCESİ GÜMRÜK İŞLEMLERİ)</w:t>
                  </w:r>
                </w:p>
                <w:p w:rsidR="00B94C40" w:rsidRDefault="00B94C40">
                  <w:pPr>
                    <w:spacing w:after="170"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(SERİ NO: 1)</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Amaç ve kapsam</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 – </w:t>
                  </w:r>
                  <w:r>
                    <w:rPr>
                      <w:rFonts w:ascii="Times New Roman" w:hAnsi="Times New Roman"/>
                      <w:sz w:val="18"/>
                      <w:szCs w:val="18"/>
                      <w:lang w:eastAsia="tr-TR"/>
                    </w:rPr>
                    <w:t xml:space="preserve">(1) Bu Tebliğin amacı, serbest dolaşıma giriş ve </w:t>
                  </w:r>
                  <w:proofErr w:type="gramStart"/>
                  <w:r>
                    <w:rPr>
                      <w:rFonts w:ascii="Times New Roman" w:hAnsi="Times New Roman"/>
                      <w:sz w:val="18"/>
                      <w:szCs w:val="18"/>
                      <w:lang w:eastAsia="tr-TR"/>
                    </w:rPr>
                    <w:t>dahilde</w:t>
                  </w:r>
                  <w:proofErr w:type="gramEnd"/>
                  <w:r>
                    <w:rPr>
                      <w:rFonts w:ascii="Times New Roman" w:hAnsi="Times New Roman"/>
                      <w:sz w:val="18"/>
                      <w:szCs w:val="18"/>
                      <w:lang w:eastAsia="tr-TR"/>
                    </w:rPr>
                    <w:t xml:space="preserve"> işleme rejimi kapsamında denizyolu konteyner taşımacılığı ile Türkiye Gümrük Bölgesine gelen yerli üretimde girdi olarak kullanılabilecek eşyanın ilgili rejime giriş işlemlerinin Türkiye Gümrük Bölgesine gelişinden önce başlanabilmesine ilişkin usul ve esasları belirlemektir.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Dayanak</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2 – </w:t>
                  </w:r>
                  <w:r>
                    <w:rPr>
                      <w:rFonts w:ascii="Times New Roman" w:hAnsi="Times New Roman"/>
                      <w:sz w:val="18"/>
                      <w:szCs w:val="18"/>
                      <w:lang w:eastAsia="tr-TR"/>
                    </w:rPr>
                    <w:t xml:space="preserve">(1) Bu Tebliğ, </w:t>
                  </w:r>
                  <w:proofErr w:type="gramStart"/>
                  <w:r>
                    <w:rPr>
                      <w:rFonts w:ascii="Times New Roman" w:hAnsi="Times New Roman"/>
                      <w:sz w:val="18"/>
                      <w:szCs w:val="18"/>
                      <w:lang w:eastAsia="tr-TR"/>
                    </w:rPr>
                    <w:t>27/10/1999</w:t>
                  </w:r>
                  <w:proofErr w:type="gramEnd"/>
                  <w:r>
                    <w:rPr>
                      <w:rFonts w:ascii="Times New Roman" w:hAnsi="Times New Roman"/>
                      <w:sz w:val="18"/>
                      <w:szCs w:val="18"/>
                      <w:lang w:eastAsia="tr-TR"/>
                    </w:rPr>
                    <w:t xml:space="preserve"> tarihli ve 4458 sayılı Gümrük Kanununun 10 uncu, 40 </w:t>
                  </w:r>
                  <w:proofErr w:type="spellStart"/>
                  <w:r>
                    <w:rPr>
                      <w:rFonts w:ascii="Times New Roman" w:hAnsi="Times New Roman"/>
                      <w:sz w:val="18"/>
                      <w:szCs w:val="18"/>
                      <w:lang w:eastAsia="tr-TR"/>
                    </w:rPr>
                    <w:t>ıncı</w:t>
                  </w:r>
                  <w:proofErr w:type="spellEnd"/>
                  <w:r>
                    <w:rPr>
                      <w:rFonts w:ascii="Times New Roman" w:hAnsi="Times New Roman"/>
                      <w:sz w:val="18"/>
                      <w:szCs w:val="18"/>
                      <w:lang w:eastAsia="tr-TR"/>
                    </w:rPr>
                    <w:t xml:space="preserve">, 74 ila 78 inci maddeleri ile 7/10/2009 tarihli ve 27369 mükerrer sayılı Resmî </w:t>
                  </w:r>
                  <w:proofErr w:type="spellStart"/>
                  <w:r>
                    <w:rPr>
                      <w:rFonts w:ascii="Times New Roman" w:hAnsi="Times New Roman"/>
                      <w:sz w:val="18"/>
                      <w:szCs w:val="18"/>
                      <w:lang w:eastAsia="tr-TR"/>
                    </w:rPr>
                    <w:t>Gazete’de</w:t>
                  </w:r>
                  <w:proofErr w:type="spellEnd"/>
                  <w:r>
                    <w:rPr>
                      <w:rFonts w:ascii="Times New Roman" w:hAnsi="Times New Roman"/>
                      <w:sz w:val="18"/>
                      <w:szCs w:val="18"/>
                      <w:lang w:eastAsia="tr-TR"/>
                    </w:rPr>
                    <w:t xml:space="preserve"> yayımlanan Gümrük Yönetmeliğinin 74 üncü ve 75 inci maddelerine dayanılarak hazırlanmıştır.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Tanımlar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3 –</w:t>
                  </w:r>
                  <w:r>
                    <w:rPr>
                      <w:rFonts w:ascii="Times New Roman" w:hAnsi="Times New Roman"/>
                      <w:sz w:val="18"/>
                      <w:szCs w:val="18"/>
                      <w:lang w:eastAsia="tr-TR"/>
                    </w:rPr>
                    <w:t> (1) Bu Tebliğde geçen;</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a) Bakanlık: Ticaret Bakanlığını,</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b) Genel Müdürlük: Gümrükler Genel Müdürlüğünü,</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c) İzin: Bu Tebliğ kapsamında verilen varış öncesi gümrükleme iznini,</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ç) İzin başvurusu: Bu Tebliğ kapsamında yapılan başvuruyu,</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 xml:space="preserve">d) Kanun: </w:t>
                  </w:r>
                  <w:proofErr w:type="gramStart"/>
                  <w:r>
                    <w:rPr>
                      <w:rFonts w:ascii="Times New Roman" w:hAnsi="Times New Roman"/>
                      <w:sz w:val="18"/>
                      <w:szCs w:val="18"/>
                      <w:lang w:eastAsia="tr-TR"/>
                    </w:rPr>
                    <w:t>27/10/1999</w:t>
                  </w:r>
                  <w:proofErr w:type="gramEnd"/>
                  <w:r>
                    <w:rPr>
                      <w:rFonts w:ascii="Times New Roman" w:hAnsi="Times New Roman"/>
                      <w:sz w:val="18"/>
                      <w:szCs w:val="18"/>
                      <w:lang w:eastAsia="tr-TR"/>
                    </w:rPr>
                    <w:t xml:space="preserve"> tarihli ve 4458 sayılı Gümrük Kanununu,</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e) Yönetmelik: Gümrük Yönetmeliğini,</w:t>
                  </w:r>
                </w:p>
                <w:p w:rsidR="00B94C40" w:rsidRDefault="00B94C40">
                  <w:pPr>
                    <w:spacing w:line="240" w:lineRule="atLeast"/>
                    <w:ind w:firstLine="566"/>
                    <w:jc w:val="both"/>
                    <w:rPr>
                      <w:rFonts w:ascii="Times New Roman" w:hAnsi="Times New Roman"/>
                      <w:sz w:val="19"/>
                      <w:szCs w:val="19"/>
                      <w:lang w:eastAsia="tr-TR"/>
                    </w:rPr>
                  </w:pPr>
                  <w:proofErr w:type="gramStart"/>
                  <w:r>
                    <w:rPr>
                      <w:rFonts w:ascii="Times New Roman" w:hAnsi="Times New Roman"/>
                      <w:sz w:val="18"/>
                      <w:szCs w:val="18"/>
                      <w:lang w:eastAsia="tr-TR"/>
                    </w:rPr>
                    <w:t>ifade</w:t>
                  </w:r>
                  <w:proofErr w:type="gramEnd"/>
                  <w:r>
                    <w:rPr>
                      <w:rFonts w:ascii="Times New Roman" w:hAnsi="Times New Roman"/>
                      <w:sz w:val="18"/>
                      <w:szCs w:val="18"/>
                      <w:lang w:eastAsia="tr-TR"/>
                    </w:rPr>
                    <w:t xml:space="preserve"> eder.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Başvuru sahibine ilişkin koşullar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4 – </w:t>
                  </w:r>
                  <w:r>
                    <w:rPr>
                      <w:rFonts w:ascii="Times New Roman" w:hAnsi="Times New Roman"/>
                      <w:sz w:val="18"/>
                      <w:szCs w:val="18"/>
                      <w:lang w:eastAsia="tr-TR"/>
                    </w:rPr>
                    <w:t>(1) Eşyanın Türkiye Gümrük Bölgesine gelişinden önce ilgili rejime giriş işlemlerine başlanabilmesine izin verilebilmesi için başvuru sahibinin aşağıdaki koşulları sağlaması gereklidir: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a) Türkiye Gümrük Bölgesinde yerleşik olması.</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 xml:space="preserve">b) Yönetim Kurulu üyeleri, sermayesinin yüzde onundan fazlasına sahip gerçek kişiler ile gümrük ve dış ticaret işlemlerinde temsil yetkisini haiz çalışanlarının; devletin güvenliğine karşı suçlar, anayasal düzene ve bu düzenin işleyişine karşı suçlar, devlet sırlarına karşı suçlar ve casusluk, uluslararası suçlar, zimmet, irtikap, rüşvet, güveni kötüye kullanma, hırsızlık, dolandırıcılık, sahtecilik, inancı kötüye kullanma, hileli iflas, yalan tanıklık, suç uydurma ve iftira suçları ile ihaleye fesat karıştırma, edimin ifasına fesat karıştırma, suçtan kaynaklanan mal varlığı değerlerini aklama suçlarından </w:t>
                  </w:r>
                  <w:proofErr w:type="gramStart"/>
                  <w:r>
                    <w:rPr>
                      <w:rFonts w:ascii="Times New Roman" w:hAnsi="Times New Roman"/>
                      <w:sz w:val="18"/>
                      <w:szCs w:val="18"/>
                      <w:lang w:eastAsia="tr-TR"/>
                    </w:rPr>
                    <w:t>1/3/1926</w:t>
                  </w:r>
                  <w:proofErr w:type="gramEnd"/>
                  <w:r>
                    <w:rPr>
                      <w:rFonts w:ascii="Times New Roman" w:hAnsi="Times New Roman"/>
                      <w:sz w:val="18"/>
                      <w:szCs w:val="18"/>
                      <w:lang w:eastAsia="tr-TR"/>
                    </w:rPr>
                    <w:t xml:space="preserve"> tarihli ve mülga 765 sayılı Türk Ceza Kanunu ile 26/9/2004 tarihli ve 5237 sayılı Türk Ceza Kanununa; vergi kaçakçılığı veya vergi kaçakçılığına teşebbüs suçlarından 4/1/1961 tarihli ve 213 sayılı Vergi Usul Kanununa; 7/1/1932 tarihli ve mülga 1918 sayılı Kaçakçılığın Men ve Takibine Dair Kanuna, 10/7/2003 tarihli ve mülga 4926 sayılı Kaçakçılıkla Mücadele Kanununa, 21/3/2007 tarihli ve 5607 sayılı Kaçakçılıkla Mücadele Kanununa, 19/4/1990 tarihli ve 3628 sayılı Mal Bildiriminde Bulunulması, Rüşvet ve Yolsuzluklarla Mücadele Kanununa, 20/2/1930 tarihli ve 1567 sayılı Türk Parasının Kıymetini Koruma Hakkında Kanuna, 4/12/2003 tarihli ve 5015 sayılı Petrol Piyasası Kanununa, 11/10/2006 tarihli ve 5549 sayılı Suç Gelirlerinin Aklanmasının Önlenmesi Hakkında Kanuna, 12/6/1933 tarihli ve 2313 sayılı Uyuşturucu Maddelerin Murakabesi Hakkında Kanuna, 3/6/1986 tarihli ve 3298 sayılı Uyuşturucu Maddelerle ilgili Kanuna muhalefetten ceza veya mahkumiyet kararı bulunmaması.</w:t>
                  </w:r>
                </w:p>
                <w:p w:rsidR="00B94C40" w:rsidRDefault="00B94C40">
                  <w:pPr>
                    <w:spacing w:line="240" w:lineRule="atLeast"/>
                    <w:ind w:firstLine="566"/>
                    <w:jc w:val="both"/>
                    <w:rPr>
                      <w:rFonts w:ascii="Times New Roman" w:hAnsi="Times New Roman"/>
                      <w:sz w:val="19"/>
                      <w:szCs w:val="19"/>
                      <w:lang w:eastAsia="tr-TR"/>
                    </w:rPr>
                  </w:pPr>
                  <w:proofErr w:type="gramStart"/>
                  <w:r>
                    <w:rPr>
                      <w:rFonts w:ascii="Times New Roman" w:hAnsi="Times New Roman"/>
                      <w:sz w:val="18"/>
                      <w:szCs w:val="18"/>
                      <w:lang w:eastAsia="tr-TR"/>
                    </w:rPr>
                    <w:t>c) Varsa sürekli olarak yurt dışında ikamet eden yabancı uyruklu; yönetim kurulu üyeleri, sermayesinin yüzde onundan fazlasına sahip gerçek kişiler ile gümrük ve dış ticaret işlemlerinde temsil yetkisini haiz çalışanlarının, 5237 sayılı Türk Ceza Kanununda sayılan uluslararası suçlar, devletin güvenliğine karşı suçlar, anayasal düzene ve bu düzenin işleyişine karşı suçlar, devlet sırlarına karşı suçlar ve casusluk, zimmet, irtikâp, rüşvet, güveni kötüye kullanma, hırsızlık, dolandırıcılık, sahtecilik, inancı kötüye kullanma, hileli iflas, yalan tanıklık, suç uydurma ve iftira suçları ile ihaleye fesat karıştırma, edimin ifasına fesat karıştırma, suçtan kaynaklanan mal varlığı değerlerini aklama suçlarından, vergi kaçakçılığı veya vergi kaçakçılığına teşebbüs suçlarından, gümrük kaçakçılığı veya gümrük kaçakçılığına teşebbüs suçlarından, petrol kaçakçılığı suçlarından, uyuşturucu kaçakçılığı suçlarından, haksız mal edinme suçlarından, Türkiye’nin veya diğer ülkelerin mevzuat hükümlerine muhalefetten ceza veya mahkûmiyet kararı bulunmaması.</w:t>
                  </w:r>
                  <w:proofErr w:type="gramEnd"/>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ç) Usulsüzlük ve vergi cezaları ile ilgili olarak;</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1) Başvurunun kayda alındığı ayın ilk gününden geriye dönük son üç yıl içerisinde, on ikişer aylık üç dönem ayrı ayrı olmak üzere, işlem gören beyanname sayısının yüzde ikisini aşan sayıda vergi kaybına neden olan gümrük mevzuatı ihlali nedeniyle ceza uygulanmamış olması,</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lastRenderedPageBreak/>
                    <w:t>2) Başvurunun kayda alındığı ayın ilk gününden geriye dönük son üç yıl içerisinde, on ikişer aylık üç dönem ayrı ayrı olmak üzere, işlem gören beyanname sayısının yüzde beşini aşan sayıda gümrük mevzuatı ihlali nedeniyle usulsüzlük cezası uygulanmamış olması,</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 xml:space="preserve">3) Gümrük ve vergi mevzuatları uyarınca ödenmemiş herhangi bir vergi, ceza ve </w:t>
                  </w:r>
                  <w:proofErr w:type="spellStart"/>
                  <w:r>
                    <w:rPr>
                      <w:rFonts w:ascii="Times New Roman" w:hAnsi="Times New Roman"/>
                      <w:sz w:val="18"/>
                      <w:szCs w:val="18"/>
                      <w:lang w:eastAsia="tr-TR"/>
                    </w:rPr>
                    <w:t>fer’i</w:t>
                  </w:r>
                  <w:proofErr w:type="spellEnd"/>
                  <w:r>
                    <w:rPr>
                      <w:rFonts w:ascii="Times New Roman" w:hAnsi="Times New Roman"/>
                      <w:sz w:val="18"/>
                      <w:szCs w:val="18"/>
                      <w:lang w:eastAsia="tr-TR"/>
                    </w:rPr>
                    <w:t xml:space="preserve"> amme borcu bulunmaması.</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d) Yeminli mali müşavir tarafından aşağıdaki koşulların incelenerek, olumlu görüşle rapora bağlanmış olması;</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1) Başvuru sahibinin ticari ve varsa taşımaya ilişkin kayıtlarını, gümrük idarelerince yapılan ve özellikle sonradan kontrol kapsamında yapılacak denetimlerin sağlıklı ve etkin bir şekilde yapılmasına olanak verecek, bilgi ve kayıtların gerçekliğini koruyan şekilde ve genel kabul görmüş muhasebe ilkelerine uygun olarak tutması,</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Başvuru sahibinin iştigal ettiği iş alanının özellikleri, kapasite raporu ve mali bilançosu göz önüne alındığında, yeterli bir mali durumda bulunması ve hakkında iflas işlemleri başlatılmamış olması.</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e) Başvuru yılından önceki son üç takvim yılı veya başvurunun kayda alındığı ayın ilk gününden geriye dönük üç yıl içerisinde, yılda asgari beş milyon FOB/ABD doları tutarında fiili ihracat gerçekleştirmiş olması,</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 xml:space="preserve">f) </w:t>
                  </w:r>
                  <w:proofErr w:type="gramStart"/>
                  <w:r>
                    <w:rPr>
                      <w:rFonts w:ascii="Times New Roman" w:hAnsi="Times New Roman"/>
                      <w:sz w:val="18"/>
                      <w:szCs w:val="18"/>
                      <w:lang w:eastAsia="tr-TR"/>
                    </w:rPr>
                    <w:t>17/4/1957</w:t>
                  </w:r>
                  <w:proofErr w:type="gramEnd"/>
                  <w:r>
                    <w:rPr>
                      <w:rFonts w:ascii="Times New Roman" w:hAnsi="Times New Roman"/>
                      <w:sz w:val="18"/>
                      <w:szCs w:val="18"/>
                      <w:lang w:eastAsia="tr-TR"/>
                    </w:rPr>
                    <w:t xml:space="preserve"> tarihli ve 6948 sayılı Sanayi Sicil Kanunu hükümleri kapsamında sanayi sicil belgesini haiz olması ve/veya 18/5/2004 tarihli ve 5174 sayılı Türkiye Odalar ve Borsalar Birliği ile Odalar ve Borsalar Kanununa göre sanayici sayılması,</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g) İzin kapsamında ithal edilen eşyanın üretim ve/veya imalatta kullanılacağına dair taahhüt verilmesi.</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Firmanın yetkilendirilmiş yükümlü sertifikası sahibi olması halinde birinci fıkrada yer alan şartlar aranmaz.</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(3) Resmî daireler, sermayesinin tamamı devlete ait olan iktisadi devlet teşekkülleri ve kamu iktisadi kuruluşları ile sermayesinin tamamı bir iktisadi devlet teşekkülüne veya kamu iktisadi kuruluşuna ait bağlı müesseselerin yapacakları izin başvurularında birinci fıkrada sayılan koşullar aranmaz.</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Eşyaya ve rejime ilişkin koşullar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5 – </w:t>
                  </w:r>
                  <w:r>
                    <w:rPr>
                      <w:rFonts w:ascii="Times New Roman" w:hAnsi="Times New Roman"/>
                      <w:sz w:val="18"/>
                      <w:szCs w:val="18"/>
                      <w:lang w:eastAsia="tr-TR"/>
                    </w:rPr>
                    <w:t>(1) Bu Tebliğ hükümlerinden yararlanacak eşya Genel Müdürlükçe belirlenir ve Bakanlık internet sitesinde duyurulur.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 xml:space="preserve">(2) Serbest dolaşıma giriş ve </w:t>
                  </w:r>
                  <w:proofErr w:type="gramStart"/>
                  <w:r>
                    <w:rPr>
                      <w:rFonts w:ascii="Times New Roman" w:hAnsi="Times New Roman"/>
                      <w:sz w:val="18"/>
                      <w:szCs w:val="18"/>
                      <w:lang w:eastAsia="tr-TR"/>
                    </w:rPr>
                    <w:t>dahilde</w:t>
                  </w:r>
                  <w:proofErr w:type="gramEnd"/>
                  <w:r>
                    <w:rPr>
                      <w:rFonts w:ascii="Times New Roman" w:hAnsi="Times New Roman"/>
                      <w:sz w:val="18"/>
                      <w:szCs w:val="18"/>
                      <w:lang w:eastAsia="tr-TR"/>
                    </w:rPr>
                    <w:t xml:space="preserve"> işleme rejimi kapsamında denizyolu konteyner taşımacılığı ile Türkiye Gümrük Bölgesine gelen eşyanın bu Tebliğ hükümlerinden faydalanmasına izin verilir.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Başvuru</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6 – </w:t>
                  </w:r>
                  <w:r>
                    <w:rPr>
                      <w:rFonts w:ascii="Times New Roman" w:hAnsi="Times New Roman"/>
                      <w:sz w:val="18"/>
                      <w:szCs w:val="18"/>
                      <w:lang w:eastAsia="tr-TR"/>
                    </w:rPr>
                    <w:t>(1) Başvurular, başvuru sahibinin ticaret sicili kaydı uyarınca bağlı bulunduğu ile en yakın Gümrük ve Ticaret Bölge Müdürlüğüne yapılır.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Başvuru formu ile başvuruda yer alması gereken bilgi ve belgeler Bakanlık internet sitesinde duyurulur.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(3) Yetkilendirilmiş yükümlü statüsü sahiplerinden ayrıca başvuru alınmaz. Bu kişiler bu Tebliğ hükümlerinden doğrudan faydalandırılır.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Başvurunun değerlendirilmesi</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7 – </w:t>
                  </w:r>
                  <w:r>
                    <w:rPr>
                      <w:rFonts w:ascii="Times New Roman" w:hAnsi="Times New Roman"/>
                      <w:sz w:val="18"/>
                      <w:szCs w:val="18"/>
                      <w:lang w:eastAsia="tr-TR"/>
                    </w:rPr>
                    <w:t>(1) 4 üncü maddede yer alan şartları taşıyan başvuru sahibinin yetkilendirmesi yapılarak başvuru sahibine bildirilir.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Başvuruda eksik bilgi ve belge bulunması halinde eksikliklerin tamamlanması için başvuru sahibine 30 günlük süre verilir.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 xml:space="preserve">(3) Başvurunun 4 üncü maddede belirtilen sebeplerle uygun görülmemesi veya 30 günlük süre içerisinde eksik bilgi ve belgelerin tamamlanmaması halinde başvuru reddedilir ve </w:t>
                  </w:r>
                  <w:proofErr w:type="spellStart"/>
                  <w:r>
                    <w:rPr>
                      <w:rFonts w:ascii="Times New Roman" w:hAnsi="Times New Roman"/>
                      <w:sz w:val="18"/>
                      <w:szCs w:val="18"/>
                      <w:lang w:eastAsia="tr-TR"/>
                    </w:rPr>
                    <w:t>red</w:t>
                  </w:r>
                  <w:proofErr w:type="spellEnd"/>
                  <w:r>
                    <w:rPr>
                      <w:rFonts w:ascii="Times New Roman" w:hAnsi="Times New Roman"/>
                      <w:sz w:val="18"/>
                      <w:szCs w:val="18"/>
                      <w:lang w:eastAsia="tr-TR"/>
                    </w:rPr>
                    <w:t xml:space="preserve"> kararı gerekçesi ile birlikte başvuru sahibine bildirilir.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İzin süre sonu</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8 – </w:t>
                  </w:r>
                  <w:r>
                    <w:rPr>
                      <w:rFonts w:ascii="Times New Roman" w:hAnsi="Times New Roman"/>
                      <w:sz w:val="18"/>
                      <w:szCs w:val="18"/>
                      <w:lang w:eastAsia="tr-TR"/>
                    </w:rPr>
                    <w:t>(1) İzin süre sonu, iznin verildiği yılı izleyen takvim yılını takip eden üçüncü yılın son günüdür.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Yetkilendirilmiş Yükümlü Sertifikasının askıya alınması, geri alınması ve iptal edilmesi hallerinde, belgenin askıya alındığı, geri alındığı veya iptal edildiği tarih itibarıyla Yetkilendirilmiş Yükümlü Sertifikası sahipleri bu Tebliğ hükümlerinden faydalanamaz.</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Beyanname işlemleri</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9 –</w:t>
                  </w:r>
                  <w:r>
                    <w:rPr>
                      <w:rFonts w:ascii="Times New Roman" w:hAnsi="Times New Roman"/>
                      <w:sz w:val="18"/>
                      <w:szCs w:val="18"/>
                      <w:lang w:eastAsia="tr-TR"/>
                    </w:rPr>
                    <w:t> (1) Bu Tebliğ kapsamı eşyanın gümrük beyannamesine konu edilebilmesi için tescil edilmiş statüde bir özet beyanın bulunması gereklidir.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İzin kapsamında işlem görecek gümrük beyannamesinin "BS" kutusuna "BS-18" yazılır.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(3) İzin kapsamında tescil edilecek gümrük beyannamesinin, özet beyanın ilgili satırında yer alan eşyanın tamamını kapsaması gerekir.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Risk analizi ve beyanın kontrolü</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10 –</w:t>
                  </w:r>
                  <w:r>
                    <w:rPr>
                      <w:rFonts w:ascii="Times New Roman" w:hAnsi="Times New Roman"/>
                      <w:sz w:val="18"/>
                      <w:szCs w:val="18"/>
                      <w:lang w:eastAsia="tr-TR"/>
                    </w:rPr>
                    <w:t> (1) Bu Tebliğ kapsamında işlem gören gümrük beyannamelerinin beyanın kontrolü türü (hat bildirimi), varış bildirimi onayına kadar yükümlülere bildirilmez.</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Bu Tebliğ kapsamında işlem gören gümrük beyannamelerine ilişkin beyanın kontrolü, eşyaya ait beyanname ve eklerinin doğruluğu ve birbiriyle uygunluğu itibarıyla veya belge kontrolüne tabi tutulmaksızın gerçekleştirilir.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(3) Eşyaya ait beyanname ve eklerinin doğruluğu ve birbiriyle uygunluğu kontrol edilen veya belge kontrolüne tabi tutulmayan bu Tebliğ kapsamındaki gümrük beyannamelerinin, herhangi bir nedenle varış bildirimi onayına kadar fiziki muayeneye yönlendirilmesi mümkündür.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lastRenderedPageBreak/>
                    <w:t>Eşyanın Türkiye Gümrük Bölgesine getirilmesi</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11 –</w:t>
                  </w:r>
                  <w:r>
                    <w:rPr>
                      <w:rFonts w:ascii="Times New Roman" w:hAnsi="Times New Roman"/>
                      <w:sz w:val="18"/>
                      <w:szCs w:val="18"/>
                      <w:lang w:eastAsia="tr-TR"/>
                    </w:rPr>
                    <w:t> (1) Türkiye Gümrük Bölgesine getirilen eşyanın taşıttan boşaltılması gümrük gözetimi altında gerçekleştirilir.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Özet beyan eksiklik/fazlalık takibatı, Yönetmeliğin 75 inci maddesi çerçevesinde gerçekleştirilir.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(3) Varış bildirimi onayı ile kapanmış/kapatılabilir statüye gelen gümrük beyannamesinde belirtilen konteynerin boşaltma listesinde bulunmaması halinde söz konusu beyanname iptal edilir.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(4) Üçüncü fıkra kapsamı eşyaya ilişkin ödenmiş bir vergi bulunması halinde Kanun ve Yönetmeliğin geri verme hükümlerine göre işlem yapılır.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(5) Gümrük beyannamesinin iptal edilmesi halinde iptale ilişkin bilgi yükümlüye; gümrük beyannamesinde belirtilen konteyner numaraları ise liman işletmesine sistem üzerinden bildirilir.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Özet beyan verisinin değişmesi</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12 –</w:t>
                  </w:r>
                  <w:r>
                    <w:rPr>
                      <w:rFonts w:ascii="Times New Roman" w:hAnsi="Times New Roman"/>
                      <w:sz w:val="18"/>
                      <w:szCs w:val="18"/>
                      <w:lang w:eastAsia="tr-TR"/>
                    </w:rPr>
                    <w:t> (1) İzin kapsamında gümrük beyannamesine konu edilen özet beyanın ilgili satırında varış bildirimi verilinceye kadar değişiklik yapılması veya özet beyanın iptali halinde tescil edilmiş olan beyanname iptal edilir.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Birinci fıkra kapsamında yer alan gümrük beyannamesine ilişkin ödenmiş bir vergi bulunması halinde Kanun ve Yönetmeliğin geri verme hükümlerine göre işlem yapılır.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(3) Gümrük beyannamesinin iptal edildiği yükümlüye; iptal edilen beyannamede belirtilen konteyner numaraları ise liman işletmesine sistem üzerinden bildirilir.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Geçici depolama giriş-çıkış işlemleri</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13 –</w:t>
                  </w:r>
                  <w:r>
                    <w:rPr>
                      <w:rFonts w:ascii="Times New Roman" w:hAnsi="Times New Roman"/>
                      <w:sz w:val="18"/>
                      <w:szCs w:val="18"/>
                      <w:lang w:eastAsia="tr-TR"/>
                    </w:rPr>
                    <w:t> (1) Sarı ve yeşil hatta işlem gören gümrük beyannamesi kapsamı eşyanın geçici depolama giriş-çıkış kaydı yapılmaz.</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10 uncu maddenin üçüncü fıkrası kapsamında kırmızı hatta sevki yapılan veya varış bildirimi onayı ile birlikte yükümlülerce beyanın kontrol türünün kırmızı hat olduğunun öğrenildiği gümrük beyannamesi kapsamı eşya izin kapsamında değerlendirilmez. Bu durumda, gümrük beyannamesinde düzeltme yapılarak “BS-18” basitleştirilmiş usul kodu iptal edilir. Ayrıca, izin kapsamında değerlendirilmeyen söz konusu eşyanın geçici depolama giriş kaydı yapılır.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Beyannamenin statüsü</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14 – </w:t>
                  </w:r>
                  <w:r>
                    <w:rPr>
                      <w:rFonts w:ascii="Times New Roman" w:hAnsi="Times New Roman"/>
                      <w:sz w:val="18"/>
                      <w:szCs w:val="18"/>
                      <w:lang w:eastAsia="tr-TR"/>
                    </w:rPr>
                    <w:t xml:space="preserve">(1) Beyanın kontrolü tamamlanan ve ilgili rejim uyarınca vergileri ödenen veya teminata bağlanan gümrük beyannamesi, varış bildirimi onayı ile birlikte serbest dolaşıma giriş rejiminde kapanmış, </w:t>
                  </w:r>
                  <w:proofErr w:type="gramStart"/>
                  <w:r>
                    <w:rPr>
                      <w:rFonts w:ascii="Times New Roman" w:hAnsi="Times New Roman"/>
                      <w:sz w:val="18"/>
                      <w:szCs w:val="18"/>
                      <w:lang w:eastAsia="tr-TR"/>
                    </w:rPr>
                    <w:t>dahilde</w:t>
                  </w:r>
                  <w:proofErr w:type="gramEnd"/>
                  <w:r>
                    <w:rPr>
                      <w:rFonts w:ascii="Times New Roman" w:hAnsi="Times New Roman"/>
                      <w:sz w:val="18"/>
                      <w:szCs w:val="18"/>
                      <w:lang w:eastAsia="tr-TR"/>
                    </w:rPr>
                    <w:t xml:space="preserve"> işlem rejiminde kapatılabilir statüye gelir.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Saha çıkış işlemleri</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15 – </w:t>
                  </w:r>
                  <w:r>
                    <w:rPr>
                      <w:rFonts w:ascii="Times New Roman" w:hAnsi="Times New Roman"/>
                      <w:sz w:val="18"/>
                      <w:szCs w:val="18"/>
                      <w:lang w:eastAsia="tr-TR"/>
                    </w:rPr>
                    <w:t xml:space="preserve">(1) 13 üncü maddenin birinci fıkrası kapsamında işlem görerek serbest dolaşıma giriş rejiminde kapanmış, </w:t>
                  </w:r>
                  <w:proofErr w:type="gramStart"/>
                  <w:r>
                    <w:rPr>
                      <w:rFonts w:ascii="Times New Roman" w:hAnsi="Times New Roman"/>
                      <w:sz w:val="18"/>
                      <w:szCs w:val="18"/>
                      <w:lang w:eastAsia="tr-TR"/>
                    </w:rPr>
                    <w:t>dahilde</w:t>
                  </w:r>
                  <w:proofErr w:type="gramEnd"/>
                  <w:r>
                    <w:rPr>
                      <w:rFonts w:ascii="Times New Roman" w:hAnsi="Times New Roman"/>
                      <w:sz w:val="18"/>
                      <w:szCs w:val="18"/>
                      <w:lang w:eastAsia="tr-TR"/>
                    </w:rPr>
                    <w:t xml:space="preserve"> işlem rejiminde kapatılabilir statüye gelen beyanname kapsamı eşyanın bulunduğu konteynerlerin saha çıkışı yapılabilir.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 xml:space="preserve">(2) Söz konusu konteynerler varış bildirimi onayıyla beraber tahliye planının yapılmasını </w:t>
                  </w:r>
                  <w:proofErr w:type="spellStart"/>
                  <w:r>
                    <w:rPr>
                      <w:rFonts w:ascii="Times New Roman" w:hAnsi="Times New Roman"/>
                      <w:sz w:val="18"/>
                      <w:szCs w:val="18"/>
                      <w:lang w:eastAsia="tr-TR"/>
                    </w:rPr>
                    <w:t>teminen</w:t>
                  </w:r>
                  <w:proofErr w:type="spellEnd"/>
                  <w:r>
                    <w:rPr>
                      <w:rFonts w:ascii="Times New Roman" w:hAnsi="Times New Roman"/>
                      <w:sz w:val="18"/>
                      <w:szCs w:val="18"/>
                      <w:lang w:eastAsia="tr-TR"/>
                    </w:rPr>
                    <w:t xml:space="preserve"> liman işletmesine bildirilir.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Sonradan kontrol işlemleri</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16 –</w:t>
                  </w:r>
                  <w:r>
                    <w:rPr>
                      <w:rFonts w:ascii="Times New Roman" w:hAnsi="Times New Roman"/>
                      <w:sz w:val="18"/>
                      <w:szCs w:val="18"/>
                      <w:lang w:eastAsia="tr-TR"/>
                    </w:rPr>
                    <w:t xml:space="preserve"> (1) Bu Tebliğ kapsamında işlem gören eşyanın gümrük işlemlerine ve/veya sonraki ticari işlemlere ilişkin ticari belge ve veriler, </w:t>
                  </w:r>
                  <w:proofErr w:type="gramStart"/>
                  <w:r>
                    <w:rPr>
                      <w:rFonts w:ascii="Times New Roman" w:hAnsi="Times New Roman"/>
                      <w:sz w:val="18"/>
                      <w:szCs w:val="18"/>
                      <w:lang w:eastAsia="tr-TR"/>
                    </w:rPr>
                    <w:t>27/10/2008</w:t>
                  </w:r>
                  <w:proofErr w:type="gramEnd"/>
                  <w:r>
                    <w:rPr>
                      <w:rFonts w:ascii="Times New Roman" w:hAnsi="Times New Roman"/>
                      <w:sz w:val="18"/>
                      <w:szCs w:val="18"/>
                      <w:lang w:eastAsia="tr-TR"/>
                    </w:rPr>
                    <w:t xml:space="preserve"> tarihli ve 27037 sayılı Resmî </w:t>
                  </w:r>
                  <w:proofErr w:type="spellStart"/>
                  <w:r>
                    <w:rPr>
                      <w:rFonts w:ascii="Times New Roman" w:hAnsi="Times New Roman"/>
                      <w:sz w:val="18"/>
                      <w:szCs w:val="18"/>
                      <w:lang w:eastAsia="tr-TR"/>
                    </w:rPr>
                    <w:t>Gazete’de</w:t>
                  </w:r>
                  <w:proofErr w:type="spellEnd"/>
                  <w:r>
                    <w:rPr>
                      <w:rFonts w:ascii="Times New Roman" w:hAnsi="Times New Roman"/>
                      <w:sz w:val="18"/>
                      <w:szCs w:val="18"/>
                      <w:lang w:eastAsia="tr-TR"/>
                    </w:rPr>
                    <w:t xml:space="preserve"> yayımlanan Sonradan Kontrol ve Riskli İşlemlerin Kontrolü Yönetmeliği uyarınca sonradan kontrol kapsamında denetlenir veya beyannamenin tescil edildiği gümrük müdürlüğünün bağlı bulunduğu Gümrük ve Ticaret Bölge Müdürlüğünde yer alan Kontrol Şubelerince incelemeye tabi tutulur.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Yapılan kontrol işlemleri sırasında izin sahibinin izne ilişkin koşulları taşımaya devam edip etmediği de kontrol edilir.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Yetki</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17 – </w:t>
                  </w:r>
                  <w:r>
                    <w:rPr>
                      <w:rFonts w:ascii="Times New Roman" w:hAnsi="Times New Roman"/>
                      <w:sz w:val="18"/>
                      <w:szCs w:val="18"/>
                      <w:lang w:eastAsia="tr-TR"/>
                    </w:rPr>
                    <w:t>(1) İzin sahibinin aldatıcı işlem ve eylemi halinde, verilen izni iptal etmeye izni veren Gümrük ve Ticaret Bölge Müdürlüğü yetkilidir.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Bu Tebliğ kapsamı eşyanın ithalat işlemlerine ilişkin özel ve istisnai durumları inceleyip sonuçlandırmaya Genel Müdürlük yetkilidir.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Yürürlük</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18 –</w:t>
                  </w:r>
                  <w:r>
                    <w:rPr>
                      <w:rFonts w:ascii="Times New Roman" w:hAnsi="Times New Roman"/>
                      <w:sz w:val="18"/>
                      <w:szCs w:val="18"/>
                      <w:lang w:eastAsia="tr-TR"/>
                    </w:rPr>
                    <w:t xml:space="preserve"> (1) Bu Tebliğ yayımını takip eden 90 </w:t>
                  </w:r>
                  <w:proofErr w:type="spellStart"/>
                  <w:r>
                    <w:rPr>
                      <w:rFonts w:ascii="Times New Roman" w:hAnsi="Times New Roman"/>
                      <w:sz w:val="18"/>
                      <w:szCs w:val="18"/>
                      <w:lang w:eastAsia="tr-TR"/>
                    </w:rPr>
                    <w:t>ıncı</w:t>
                  </w:r>
                  <w:proofErr w:type="spellEnd"/>
                  <w:r>
                    <w:rPr>
                      <w:rFonts w:ascii="Times New Roman" w:hAnsi="Times New Roman"/>
                      <w:sz w:val="18"/>
                      <w:szCs w:val="18"/>
                      <w:lang w:eastAsia="tr-TR"/>
                    </w:rPr>
                    <w:t xml:space="preserve"> gün yürürlüğe girer.</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Yürütme</w:t>
                  </w:r>
                </w:p>
                <w:p w:rsidR="00B94C40" w:rsidRDefault="00B94C40">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19 –</w:t>
                  </w:r>
                  <w:r>
                    <w:rPr>
                      <w:rFonts w:ascii="Times New Roman" w:hAnsi="Times New Roman"/>
                      <w:sz w:val="18"/>
                      <w:szCs w:val="18"/>
                      <w:lang w:eastAsia="tr-TR"/>
                    </w:rPr>
                    <w:t> (1) Bu Tebliğ hükümlerini Ticaret Bakanı yürütür.</w:t>
                  </w:r>
                </w:p>
                <w:p w:rsidR="00B94C40" w:rsidRDefault="00B94C40">
                  <w:pPr>
                    <w:spacing w:before="100" w:beforeAutospacing="1" w:after="100" w:afterAutospacing="1"/>
                    <w:jc w:val="center"/>
                    <w:rPr>
                      <w:rFonts w:ascii="Times New Roman" w:hAnsi="Times New Roman"/>
                      <w:sz w:val="24"/>
                      <w:szCs w:val="24"/>
                      <w:lang w:eastAsia="tr-TR"/>
                    </w:rPr>
                  </w:pPr>
                  <w:r>
                    <w:rPr>
                      <w:rFonts w:ascii="Arial" w:hAnsi="Arial" w:cs="Arial"/>
                      <w:b/>
                      <w:bCs/>
                      <w:color w:val="000080"/>
                      <w:sz w:val="18"/>
                      <w:szCs w:val="18"/>
                      <w:lang w:eastAsia="tr-TR"/>
                    </w:rPr>
                    <w:t> </w:t>
                  </w:r>
                </w:p>
              </w:tc>
            </w:tr>
          </w:tbl>
          <w:p w:rsidR="00B94C40" w:rsidRDefault="00B94C40">
            <w:pPr>
              <w:jc w:val="center"/>
              <w:rPr>
                <w:rFonts w:ascii="Times New Roman" w:eastAsia="Times New Roman" w:hAnsi="Times New Roman"/>
                <w:sz w:val="20"/>
                <w:szCs w:val="20"/>
                <w:lang w:eastAsia="tr-TR"/>
              </w:rPr>
            </w:pPr>
          </w:p>
        </w:tc>
      </w:tr>
    </w:tbl>
    <w:p w:rsidR="00ED4206" w:rsidRDefault="00ED4206">
      <w:bookmarkStart w:id="0" w:name="_GoBack"/>
      <w:bookmarkEnd w:id="0"/>
    </w:p>
    <w:sectPr w:rsidR="00ED4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40"/>
    <w:rsid w:val="00B94C40"/>
    <w:rsid w:val="00ED42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72816-49B9-4523-A249-691E6E63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C40"/>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2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1919</Words>
  <Characters>10944</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Santral</dc:creator>
  <cp:keywords/>
  <dc:description/>
  <cp:lastModifiedBy>Santral</cp:lastModifiedBy>
  <cp:revision>1</cp:revision>
  <dcterms:created xsi:type="dcterms:W3CDTF">2019-01-23T07:58:00Z</dcterms:created>
  <dcterms:modified xsi:type="dcterms:W3CDTF">2019-01-23T07:59:00Z</dcterms:modified>
</cp:coreProperties>
</file>