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3248" w:rsidTr="00CD324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CD3248" w:rsidRDefault="00CD3248">
            <w:pPr>
              <w:shd w:val="clear" w:color="auto" w:fill="F2F2F2"/>
              <w:spacing w:befor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Türk Gıda Kodeksi Belirli Gıdalarda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Dioksinlerin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Dioksin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Benzeri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Poliklorlu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Bifenillerin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Dioksin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Benzeri Olmayan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Poliklorlu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Bifenillerin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Seviyesinin Resmi Kontrolü İçin Numune Alma, Numune Hazırlama ve Analiz Metodu Kriterleri Tebliği (No: 2015/32) (29.07.2015 t. 29429 s. R.G.)</w:t>
            </w:r>
          </w:p>
        </w:tc>
      </w:tr>
    </w:tbl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Gıda, Tarım ve Hayvancılık Bakanlığından: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Amaç ve kapsam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1 –</w:t>
      </w:r>
      <w:r>
        <w:rPr>
          <w:rFonts w:ascii="Arial" w:hAnsi="Arial" w:cs="Arial"/>
          <w:color w:val="000000"/>
          <w:sz w:val="21"/>
          <w:szCs w:val="21"/>
        </w:rPr>
        <w:t xml:space="preserve"> (1) Bu Tebliğin amacı; belirli gıdalarda bulunan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furanlar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(PCDD ve PCDF),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poliklorlu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bifeniller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(PCB)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olmayan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seviyesinin resmi kontrolü için gıdalardan numune alma, numune hazırlama ve analiz metodu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kriterlerini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düzenlemektir.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Dayanak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2 –</w:t>
      </w:r>
      <w:r>
        <w:rPr>
          <w:rFonts w:ascii="Arial" w:hAnsi="Arial" w:cs="Arial"/>
          <w:color w:val="000000"/>
          <w:sz w:val="21"/>
          <w:szCs w:val="21"/>
        </w:rPr>
        <w:t xml:space="preserve"> (1) Bu Tebliğ,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29/12/2011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28157 3’üncü mükerrer sayılı Resmî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yayımlanan Türk Gıda Kodeksi Yönetmeliğine dayanılarak hazırlanmıştır.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Tanımlar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3 –</w:t>
      </w:r>
      <w:r>
        <w:rPr>
          <w:rFonts w:ascii="Arial" w:hAnsi="Arial" w:cs="Arial"/>
          <w:color w:val="000000"/>
          <w:sz w:val="21"/>
          <w:szCs w:val="21"/>
        </w:rPr>
        <w:t xml:space="preserve"> (1) Bu Tebliğ’de geçen;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a) Alt parti: Numune alma metodunu uygulamak amacıyla büyük bir partiden fiziksel olarak ayrılmış ve tanımlanmış kısmı,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b) Alt-sınır: Miktarı belirlenmemiş olan her bir türdeş bileşenin katkısı için sıfır değerinin kullanılmasını gerektiren durumu,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c) Bakanlık: Gıda, Tarım ve Hayvancılık Bakanlığını,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ç) Belirli gıdalar: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29/12/2011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28157 3 üncü mükerrer sayılı Resmî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yayımlanan Türk Gıda Kodeksi Bulaşanlar Yönetmeliği eklerinden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için limit belirlenen gıdaları,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d) Birincil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İnkremental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numune: Parti veya alt partinin tek bir yerinden alınan bir miktar materyali,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metotlar: Hücre temelli analizler, reseptör analizleri veya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immuno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-analizler gibi biyolojik prensiplere dayalı metotlardır. Numune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ekstraktında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bulunan ve analize yanıt veren tüm bileşiklerin TEQ-prensibinin gerekliliklerine uymayabileceğinden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Eşdeğerlik (BEQ) olarak ifade edilen ve TEQ düzeyinin sadece bir göstergesi olan bu metotlar türdeş bileşen miktarı hakkında sonuç vermezler.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metotlar, TEF şemasında yer alan türdeş bileşenler için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spesifik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değildir. Toplam yanıta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dahil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olacak şekilde yapısal olarak ilişkili diğer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-aktif bileşikler numune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ekstraktında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mevcut olabilir. Bu nedenle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sonuçlar; TEQ sonucu olmayıp, numunedeki TEQ seviyesinin bir göstergesidir.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görünür geri kazanımı: BEQ seviyesinin, kör için düzeltilmiş TCDD veya PCB 126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kalibrasyon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eğrisinden hesaplanması ve daha sonra doğrulama metodu ile tespit edilen TEQ seviyesine bölünmesidir. Bunlar,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ekstraksiyon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ekstrakttan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istenmeyen bileşiklerin arındırılması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clean-up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aşamalarında meydana gelebilecek PCDD/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PCDF’ler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-benzeri bileşiklerin kaybı, analitik yanıtı artıran veya düşüren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ekstrakte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edilmiş istenmeyen bileşikler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agonistik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antagonistik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etkiler),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kalibrasyon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eğrisine uygunluk kalitesi ya da TEF ve REP değerleri arasındaki farklılıklar gibi faktörleri düzeltmeyi amaçlar.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görünür geri kazanımı, maksimum limit veya müdahale seviyesi civarında temsili türdeş bileşen dağılımına sahip uygun referans numunelerden hesaplanır.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g) Bir numunedeki her bir türdeş bileşenin kabul edilen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spesifik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ölçüm limiti: Uluslararası kabul görmüş standartlarda [örneğin EN 16215:2012 standardında (Hayvan yemi GC-HRMS ile indikatör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GC-HRMS ile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belirlenmesi) ve/veya EPA 1613 ve 1668 revize metotları] tarif edildiği gibi tanımlama kriterlerini karşılayan, kabul edilebilir istatistiksel kesinlikle ölçülebilen en düşük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miktarını,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Bir türdeş bileşenin ölçüm limiti şu şekillerde de tanımlanabilir: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İki farklı iyondan daha düşük şiddetteki ham veri sinyali için S/N (sinyal/gürültü) oranının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3:1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olacak şekilde izlenebildiği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enstrümental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bir yanıt üreten numune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ekstraktındaki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konsantrasyonunu;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veya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Teknik nedenlerden dolayı S/N hesabı güvenilir sonuçlar sağlamaz ise, numunelerin her bir serisinin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kalibrasyon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eğrisi üzerinde tüm noktalar için hesaplanan ortalama bağıl tepki faktörüne kabul edilebilir (≤ 30 %) ve tutarlı (en azından başlangıçta ve numunelerin analitik bir serisinde ölçülen) bir sapma veren kalibrasyon eğrisi üzerindeki en düşük konsantrasyon noktası; (LOQ, numune alımı ve iç standartların geri kazanımı hesaba alınarak en düşük konsantrasyon noktasından hesaplanır)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ğ) Doğrulama metotları: PCDD/F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tanımlanmasına ve maksimum limit veya gerektiğinde müdahale seviyesinde şüpheye yer bırakmayacak şekilde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kantitatif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olarak hesaplanmasına olanak veren gerekli her türlü bilgiyi sağlayan metotlardır. Bu metotlar gaz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kromatografi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/yüksek çözünürlüklü kütle spektrometresi (GC-HRMS) veya gaz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kromatografisi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/tandem kütle spektrometresi (GC-MS/MS) kullanırlar.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h) Laboratuvar numunesi: Laboratuvar için paçal numunenin bir miktarı/bölümü alınarak hazırlanmış, paçal numuneyi temsil eden numuneyi,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ı) Müdahale seviyesi: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yüksek seviyelerinin tespit edildiği durumlarda, bunların kaynağının tanımlanması için araştırmaların başlatıldığı seviyeyi,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i) Orta-sınır: Miktarı belirlenmemiş olan her bir türdeş bileşenin katkısı için ölçüm limitinin yarısının kullanılmasını gerektiren durumu,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j) Paçal numune: Parti veya alt partiden alınan birincil numunelerin tamamının birleştirilmesi ile elde edilen numuneyi,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k) Parti: Numuneyi alan kontrol görevlisi tarafından; orijin, çeşit, paketleyici veya gönderici firma, ambalaj tipi, işaretleme gibi özelliklerinin aynı olduğu belirlenen ve bir seferde teslim edilen gıdanın tanımlanabilir miktarını,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l) Şahit numune: İtirazlı durumlar için paçal numuneden ayrılan numuneyi,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m) Tarama metotları: PCDD/F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açısından maksimum limit veya müdahale seviyesini geçen numunelerin seçilmesinde kullanılan metotlardır. Bu metotlar, maliyet açısından avantaj sağlayacak şekilde yüksek miktarda numune çalışılmasına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imkan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sağlar ve böylece tüketiciler için yüksek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maruziyete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sağlık riskine yol açabilecek yeni kazaların keşfedilmesinin şansını arttırır. Tarama metotları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veya GC-MS metotlarına dayalı metotlardır. Eşik değerini geçen numunelerin sonuçları; maksimum limit ile uygunluğunun kontrolü için, doğrulama metodu kullanılarak orijinal numunenin tamamen yeniden analizi ile doğrulanmalıdır.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n) Üst-sınır: Miktarı belirlenmemiş olan her bir türdeş bileşenin katkısı için ölçüm limitinin kullanılmasını gerektiren durumu,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o) Yarı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kantitatif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metotlar: Sayısal sonucu, kantitatif metotların gerekliliklerini karşılamazken varsayılan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analitin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konsantrasyonuna ilişkin yaklaşık bir gösterge veren metotları,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ifade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eder.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Bu Tebliğ’de geçen kısaltmalar;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BEQ 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Biyoanalitik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eşdeğerlikler,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CV : Varyasyon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katsayısı,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GC : Gaz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kromatografisi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HRMS : Yüksek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çözünürlüklü kütle spektrometresi,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MS/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MS : Ardışık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kütle spektrometresi,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LRMS : Düşük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çözünürlüklü kütle spektrometresi,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PCB 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Poliklorlu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bifeniller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PCDD 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Poliklorlu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dibenzo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-p-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PCDF 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Poliklorlu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dibenzofuranlar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QC : Kalite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kontrol,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REP : Bağıl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etki,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TEF 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Toksik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eşdeğerlik faktörü,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TEQ 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Toksik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eşdeğerlikler,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TCDD 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Tetraklorodibenzodioksin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U : Genişletilmiş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ölçüm belirsizliği,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olarak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ifade edilir.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Numune alma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4 –</w:t>
      </w:r>
      <w:r>
        <w:rPr>
          <w:rFonts w:ascii="Arial" w:hAnsi="Arial" w:cs="Arial"/>
          <w:color w:val="000000"/>
          <w:sz w:val="21"/>
          <w:szCs w:val="21"/>
        </w:rPr>
        <w:t xml:space="preserve"> (1) Belirli gıdalarda bulunan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furanlar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olmayan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seviyesinin resmi kontrolü için EK-1’deki numune alma usul ve esaslarına göre yapılır.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Numune hazırlama ve analiz metodu </w:t>
      </w:r>
      <w:proofErr w:type="gramStart"/>
      <w:r>
        <w:rPr>
          <w:rFonts w:ascii="Arial" w:hAnsi="Arial" w:cs="Arial"/>
          <w:color w:val="FF0000"/>
          <w:sz w:val="21"/>
          <w:szCs w:val="21"/>
        </w:rPr>
        <w:t>kriterleri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5 –</w:t>
      </w:r>
      <w:r>
        <w:rPr>
          <w:rFonts w:ascii="Arial" w:hAnsi="Arial" w:cs="Arial"/>
          <w:color w:val="000000"/>
          <w:sz w:val="21"/>
          <w:szCs w:val="21"/>
        </w:rPr>
        <w:t xml:space="preserve"> (1) Belirli gıdalarda bulunan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furanlar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olmayan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seviyesinin resmi kontrolünde kullanılan analiz metotları için gereklilikler ve numune hazırlama usul ve esasları EK-2’ye uygun olur.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lastRenderedPageBreak/>
        <w:t>Avrupa Birliği mevzuatına uyum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6 –</w:t>
      </w:r>
      <w:r>
        <w:rPr>
          <w:rFonts w:ascii="Arial" w:hAnsi="Arial" w:cs="Arial"/>
          <w:color w:val="000000"/>
          <w:sz w:val="21"/>
          <w:szCs w:val="21"/>
        </w:rPr>
        <w:t xml:space="preserve"> (1) Bu Tebliğ,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2/6/2014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589/2014/AB sayılı Belirli Gıdalarda Bulunan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Olmayan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PCB’lerin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Seviyelerinin Kontrolü İçin Numune Alma ve Analiz Metotları hakkında Komisyon Tüzüğü dikkate alınarak Avrupa Birliği mevzuatına uyum çerçevesinde hazırlanmıştır.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Yürürlükten kaldırılan tebliğ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7 –</w:t>
      </w:r>
      <w:r>
        <w:rPr>
          <w:rFonts w:ascii="Arial" w:hAnsi="Arial" w:cs="Arial"/>
          <w:color w:val="000000"/>
          <w:sz w:val="21"/>
          <w:szCs w:val="21"/>
        </w:rPr>
        <w:t xml:space="preserve"> (1)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4/1/2012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28163 sayılı Resmî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yayımlanan Türk Gıda Kodeksi Belirli Gıdalarda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Dioksin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Benzeri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Poliklorlu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Bifenillerin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Seviyesinin Resmi Kontrolü İçin Numune Alma, Numune Hazırlama ve Analiz Metodu Kriterleri Tebliği (Tebliğ No: 2012/5) yürürlükten kaldırılmıştır.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Geçiş hükümleri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GEÇİCİ MADDE 1 –</w:t>
      </w:r>
      <w:r>
        <w:rPr>
          <w:rFonts w:ascii="Arial" w:hAnsi="Arial" w:cs="Arial"/>
          <w:color w:val="000000"/>
          <w:sz w:val="21"/>
          <w:szCs w:val="21"/>
        </w:rPr>
        <w:t xml:space="preserve"> (1) Bu Tebliğin yayımı tarihinden önce resmi kontroller için analiz yapan kurum ve kuruluşlar, en geç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30/6/2016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tarihine kadar bu Tebliğ hükümlerine uyum sağlamak zorundadırlar.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Bu Tebliğin yayımı tarihinden önce resmi kontroller için analiz yapan kurum ve kuruluşlar bu Tebliğ hükümlerine uyum sağlayana kadar 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madde ile yürürlükten kaldırılan Tebliğ hükümlerine uyarlar.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Yürürlük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8 –</w:t>
      </w:r>
      <w:r>
        <w:rPr>
          <w:rFonts w:ascii="Arial" w:hAnsi="Arial" w:cs="Arial"/>
          <w:color w:val="000000"/>
          <w:sz w:val="21"/>
          <w:szCs w:val="21"/>
        </w:rPr>
        <w:t xml:space="preserve"> (1) Bu Tebliğ yayımı tarihinde yürürlüğe girer.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Yürütme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9 –</w:t>
      </w:r>
      <w:r>
        <w:rPr>
          <w:rFonts w:ascii="Arial" w:hAnsi="Arial" w:cs="Arial"/>
          <w:color w:val="000000"/>
          <w:sz w:val="21"/>
          <w:szCs w:val="21"/>
        </w:rPr>
        <w:t xml:space="preserve"> (1) Bu Tebliğ hükümlerini Gıda, Tarım ve Hayvancılık Bakanı yürütür.</w:t>
      </w:r>
    </w:p>
    <w:p w:rsidR="00CD3248" w:rsidRDefault="00CD3248" w:rsidP="00CD3248">
      <w:pPr>
        <w:pStyle w:val="NormalWeb"/>
        <w:rPr>
          <w:rFonts w:ascii="Arial" w:hAnsi="Arial" w:cs="Arial"/>
          <w:color w:val="000000"/>
          <w:sz w:val="21"/>
          <w:szCs w:val="21"/>
        </w:rPr>
      </w:pPr>
      <w:hyperlink r:id="rId4" w:tgtFrame="_blank" w:history="1">
        <w:r>
          <w:rPr>
            <w:rStyle w:val="Kpr"/>
            <w:rFonts w:ascii="Arial" w:hAnsi="Arial" w:cs="Arial"/>
            <w:sz w:val="21"/>
            <w:szCs w:val="21"/>
          </w:rPr>
          <w:t>Ekleri için tıklayınız.</w:t>
        </w:r>
      </w:hyperlink>
    </w:p>
    <w:p w:rsidR="00C22862" w:rsidRDefault="00C22862">
      <w:bookmarkStart w:id="0" w:name="_GoBack"/>
      <w:bookmarkEnd w:id="0"/>
    </w:p>
    <w:sectPr w:rsidR="00C2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48"/>
    <w:rsid w:val="00C22862"/>
    <w:rsid w:val="00C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75C5-3363-4EFD-A20C-A0CD6B85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4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324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D32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5/07/20150729-18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2015-07-29T07:50:00Z</dcterms:created>
  <dcterms:modified xsi:type="dcterms:W3CDTF">2015-07-29T08:04:00Z</dcterms:modified>
</cp:coreProperties>
</file>