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33E89" w:rsidTr="00333E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3E89" w:rsidRDefault="00333E89">
            <w:pPr>
              <w:spacing w:line="240" w:lineRule="atLeast"/>
              <w:rPr>
                <w:rFonts w:ascii="Times New Roman" w:hAnsi="Times New Roman" w:cs="Times New Roman"/>
                <w:sz w:val="24"/>
                <w:szCs w:val="24"/>
                <w:lang w:eastAsia="tr-TR"/>
              </w:rPr>
            </w:pPr>
            <w:r>
              <w:rPr>
                <w:rFonts w:ascii="Arial" w:hAnsi="Arial" w:cs="Arial"/>
                <w:sz w:val="16"/>
                <w:szCs w:val="16"/>
                <w:lang w:eastAsia="tr-TR"/>
              </w:rPr>
              <w:t>6 Ekim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3E89" w:rsidRDefault="00333E89">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33E89" w:rsidRDefault="00333E89">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30557</w:t>
            </w:r>
            <w:proofErr w:type="gramEnd"/>
          </w:p>
        </w:tc>
      </w:tr>
      <w:tr w:rsidR="00333E89" w:rsidTr="00333E89">
        <w:trPr>
          <w:trHeight w:val="480"/>
          <w:jc w:val="center"/>
        </w:trPr>
        <w:tc>
          <w:tcPr>
            <w:tcW w:w="8789" w:type="dxa"/>
            <w:gridSpan w:val="3"/>
            <w:tcMar>
              <w:top w:w="0" w:type="dxa"/>
              <w:left w:w="108" w:type="dxa"/>
              <w:bottom w:w="0" w:type="dxa"/>
              <w:right w:w="108" w:type="dxa"/>
            </w:tcMar>
            <w:vAlign w:val="center"/>
            <w:hideMark/>
          </w:tcPr>
          <w:p w:rsidR="00333E89" w:rsidRDefault="00333E89">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333E89" w:rsidTr="00333E89">
        <w:trPr>
          <w:trHeight w:val="480"/>
          <w:jc w:val="center"/>
        </w:trPr>
        <w:tc>
          <w:tcPr>
            <w:tcW w:w="8789" w:type="dxa"/>
            <w:gridSpan w:val="3"/>
            <w:tcMar>
              <w:top w:w="0" w:type="dxa"/>
              <w:left w:w="108" w:type="dxa"/>
              <w:bottom w:w="0" w:type="dxa"/>
              <w:right w:w="108" w:type="dxa"/>
            </w:tcMar>
            <w:vAlign w:val="center"/>
            <w:hideMark/>
          </w:tcPr>
          <w:p w:rsidR="00333E89" w:rsidRDefault="00333E89">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Hazine ve Maliye Bakanlığından:</w:t>
            </w:r>
          </w:p>
          <w:p w:rsidR="00333E89" w:rsidRDefault="00333E89">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TÜRK PARASI KIYMETİNİ KORUMA HAKKINDA 32 SAYILI KARARA İLİŞKİN</w:t>
            </w:r>
          </w:p>
          <w:p w:rsidR="00333E89" w:rsidRDefault="00333E89">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(TEBLİĞ NO: 2008-32/34)’DE DEĞİŞİKLİK YAPILMASINA</w:t>
            </w:r>
          </w:p>
          <w:p w:rsidR="00333E89" w:rsidRDefault="00333E89">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DAİR TEBLİĞ (TEBLİĞ NO: 2018-32/51)</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proofErr w:type="gramStart"/>
            <w:r>
              <w:rPr>
                <w:rFonts w:ascii="Times New Roman" w:hAnsi="Times New Roman" w:cs="Times New Roman"/>
                <w:sz w:val="18"/>
                <w:szCs w:val="18"/>
                <w:lang w:eastAsia="tr-TR"/>
              </w:rPr>
              <w:t>28/2/2008</w:t>
            </w:r>
            <w:proofErr w:type="gramEnd"/>
            <w:r>
              <w:rPr>
                <w:rFonts w:ascii="Times New Roman" w:hAnsi="Times New Roman" w:cs="Times New Roman"/>
                <w:sz w:val="18"/>
                <w:szCs w:val="18"/>
                <w:lang w:eastAsia="tr-TR"/>
              </w:rPr>
              <w:t xml:space="preserve"> tarihli ve 26801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Türk Parası Kıymetini Koruma Hakkında 32 Sayılı Karara İlişkin Tebliğ (Tebliğ No: 2008-32/34)’in mülga 8 inci maddesi başlığı ile birlikte aşağıdaki şekilde yeniden düzenlenmiştir.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“Döviz Cinsinden ve Dövize Endeksli Sözleşmeler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Türkiye’de yerleşik kişiler; kendi aralarında akdedecekleri, konusu serbest bölgeler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Türkiye’de yerleşik kişiler; kendi aralarında akdedecekleri, konusu serbest bölgeler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Türkiye’de yerleşik kişiler; yurt dışında ifa edilecekler dışında kalan, kendi aralarında akdedecekleri, iş sözleşmelerinde sözleşme bedelini ve bu sözleşmelerden kaynaklanan diğer ödeme yükümlülüklerini döviz cinsinden veya dövize endeksli olarak kararlaştıramazlar.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Türkiye Cumhuriyeti Devleti ile vatandaşlık bağı bulunmayan kişilerin taraf oldukları hizmet sözleşmeleri,</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İhracat, transit ticaret, ihracat sayılan satış ve teslimler ile döviz kazandırıcı hizmet ve faaliyetler kapsamında yapılan hizmet sözleşmeleri,</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Türkiye’de yerleşik kişilerin yurt dışında gerçekleştirecekleri faaliyetler kapsamında yapılan hizmet sözleşmeleri,</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Türkiye’de yerleşik kişilerin, kendi aralarında akdedecekleri, Türkiye’de başlayıp yurt dışında sonlanan ve yurt dışında başlayıp Türkiye’de sonlanan elektronik haberleşme ile ilgili hizmet sözleşmeleri.</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(5) Türkiye’de yerleşik kişiler; kendi aralarında akdedecekleri, </w:t>
            </w:r>
            <w:proofErr w:type="gramStart"/>
            <w:r>
              <w:rPr>
                <w:rFonts w:ascii="Times New Roman" w:hAnsi="Times New Roman" w:cs="Times New Roman"/>
                <w:sz w:val="18"/>
                <w:szCs w:val="18"/>
                <w:lang w:eastAsia="tr-TR"/>
              </w:rPr>
              <w:t>16/12/1999</w:t>
            </w:r>
            <w:proofErr w:type="gramEnd"/>
            <w:r>
              <w:rPr>
                <w:rFonts w:ascii="Times New Roman" w:hAnsi="Times New Roman" w:cs="Times New Roman"/>
                <w:sz w:val="18"/>
                <w:szCs w:val="18"/>
                <w:lang w:eastAsia="tr-TR"/>
              </w:rPr>
              <w:t xml:space="preserve"> tarihli ve 4490 sayılı Türk Uluslararası Gemi Sicili Kanunu ile 491 sayılı Kanun Hükmünde Kararnamede Değişiklik Yapılmasına Dair Kanunda tanımlanan gemilerin inşası, tamiri ve bakımı dışında kalan eser sözleşmelerinde sözleşme bedelini ve bu sözleşmelerden kaynaklanan diğer ödeme yükümlülüklerini döviz cinsinden veya dövize endeksli olarak kararlaştıramazlar.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Türkiye’de yerleşik kişilerin; kendi aralarında akdedecekleri, iş makineleri dâhil taşıt satış sözleşmeleri dışında kalan menkul satış sözleşmelerinde sözleşme bedelini ve bu sözleşmelerden kaynaklanan diğer ödeme yükümlülüklerini döviz cinsinden veya dövize endeksli olarak kararlaştırmaları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Türkiye’de yerleşik kişilerin; kendi aralarında akdedecekleri, iş makineleri dâhil taşıt kiralama sözleşmeleri dışında kalan, menkul kiralama sözleşmelerinde sözleşme bedelini ve bu sözleşmelerden kaynaklanan diğer ödeme yükümlülüklerini döviz cinsinden veya dövize endeksli olarak kararlaştırmaları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Türkiye’de yerleşik kişilerin; kendi aralarında akdedecekleri, bilişim teknolojileri kapsamında yurt dışında üretilen yazılımlara ilişkin satış sözleşmeleri ile donanım ve yazılımlara ilişkin lisans ve hizmet sözleşmelerinde sözleşme bedelini ve bu sözleşmelerden kaynaklanan diğer ödeme yükümlülüklerini döviz cinsinden veya dövize endeksli olarak kararlaştırmaları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(9)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(10) Türk Parası Kıymetini Koruma Hakkında 32 Sayılı Kararın 17 ve 17/A maddeleri kapsamında yapılacak finansal kiralama (leasing) sözleşmelerine ilişkin bedellerin döviz cinsinden kararlaştırılması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(11)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(12) Kamu kurum ve kuruluşları ile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333E89" w:rsidRDefault="00333E8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 xml:space="preserve">(13) Kamu kurum ve kuruluşlarının taraf olduğu döviz cinsinden veya dövize endeksli ihaleler, sözleşmeler ve milletlerarası </w:t>
            </w:r>
            <w:proofErr w:type="spellStart"/>
            <w:r>
              <w:rPr>
                <w:rFonts w:ascii="Times New Roman" w:hAnsi="Times New Roman" w:cs="Times New Roman"/>
                <w:sz w:val="18"/>
                <w:szCs w:val="18"/>
                <w:lang w:eastAsia="tr-TR"/>
              </w:rPr>
              <w:t>andlaşmaların</w:t>
            </w:r>
            <w:proofErr w:type="spellEnd"/>
            <w:r>
              <w:rPr>
                <w:rFonts w:ascii="Times New Roman" w:hAnsi="Times New Roman" w:cs="Times New Roman"/>
                <w:sz w:val="18"/>
                <w:szCs w:val="18"/>
                <w:lang w:eastAsia="tr-TR"/>
              </w:rPr>
              <w:t xml:space="preserve"> ifası kapsamında olmak kaydıyla; yüklenicilerin üçüncü taraflarla akdedeceği gayrimenkul satış, gayrimenkul kiralama ve iş sözleşmeleri dışında kalan sözleşmelerde, sözleşme bedelinin ve bu sözleşmelerden kaynaklanan diğer ödeme yükümlülüklerin döviz cinsinden veya dövize endeksli olarak kararlaştırılması mümkündür.</w:t>
            </w:r>
            <w:proofErr w:type="gramEnd"/>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(14) Hazine ve Maliye Bakanlığının </w:t>
            </w:r>
            <w:proofErr w:type="gramStart"/>
            <w:r>
              <w:rPr>
                <w:rFonts w:ascii="Times New Roman" w:hAnsi="Times New Roman" w:cs="Times New Roman"/>
                <w:sz w:val="18"/>
                <w:szCs w:val="18"/>
                <w:lang w:eastAsia="tr-TR"/>
              </w:rPr>
              <w:t>28/3/2002</w:t>
            </w:r>
            <w:proofErr w:type="gramEnd"/>
            <w:r>
              <w:rPr>
                <w:rFonts w:ascii="Times New Roman" w:hAnsi="Times New Roman" w:cs="Times New Roman"/>
                <w:sz w:val="18"/>
                <w:szCs w:val="18"/>
                <w:lang w:eastAsia="tr-TR"/>
              </w:rPr>
              <w:t xml:space="preserve"> tarihli ve 4749 sayılı Kamu Finansmanı ve Borç Yönetiminin Düzenlenmesi Hakkında Kanun kapsamında gerçekleştirdiği işlemlerle ilgili olarak bankaların taraf olduğu sözleşmelerde, sözleşme bedelinin ve bu sözleşmelerden kaynaklanan diğer ödeme yükümlülüklerin döviz cinsinden veya dövize endeksli olarak kararlaştırılması mümkündür.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(15) Türk Parası Kıymetini Koruma Hakkında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xml:space="preserve"> olmak üzere) döviz cinsinden oluşturulması, ihracı, alım satımı ve yapılan işlemlere ilişkin yükümlülüklerin döviz cinsinden kararlaştırılması mümkündür.</w:t>
            </w:r>
          </w:p>
          <w:p w:rsidR="00333E89" w:rsidRDefault="00333E8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(16) Dışarıda yerleşik kişilerin Türkiye’de bulunan; şube, temsilcilik, ofis, irtibat bürosu, doğrudan veya dolaylı olarak yüzde elli ve üzerinde pay sahipliklerinin bulunduğu şirketler ile serbest bölgedeki faaliyetleri kapsamında serbest bölgelerdeki şirketlerin  taraf olduğu iş ve hizmet sözleşmelerinde, sözleşme bedelinin ve bu sözleşmelerden kaynaklanan diğer ödeme yükümlülüklerinin döviz cinsinden veya dövize endeksli olarak kararlaştırılması mümkündür.</w:t>
            </w:r>
            <w:proofErr w:type="gramEnd"/>
          </w:p>
          <w:p w:rsidR="00333E89" w:rsidRDefault="00333E8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(17)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%50 hisse oranına sahip olduğu ortaklıkların Türkiye’de yerleşik kişilerle döviz cinsinden veya dövize endeksli bedeller içeren gayrimenkul satış, gayrimenkul kiralama ve iş sözleşmeleri haricindeki sözleşmeleri akdetmeleri mümkündür.</w:t>
            </w:r>
            <w:proofErr w:type="gramEnd"/>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(18)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(19) Uluslararası piyasalarda fiyatı döviz cinsinden belirlenen kıymetli madenlere ve/veya emtiaya endekslenen ve/veya dolaylı olarak dövize endekslenen sözleşmeler, Türk Parası Kıymetini Koruma Hakkında 32 Sayılı Kararın 4 üncü maddesinin (g) bendi uygulaması kapsamında dövize endeksli sözleşme olarak değerlendirilir.</w:t>
            </w:r>
          </w:p>
          <w:p w:rsidR="00333E89" w:rsidRDefault="00333E8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(20) Türkiye’de yerleşik kişilerin yurt dışındaki; şube, temsilcilik, ofis, irtibat bürosu, işlettiği veya yönettiği fonlar, yüzde elli ve üzerinde pay sahipliklerinin bulunduğu şirketler ile doğrudan ya da dolaylı olarak sahipliklerinde bulunan şirketler Türk Parası Kıymetini Koruma Hakkında 32 Sayılı Kararın 4 üncü maddesinin (g) bendi uygulaması kapsamında Türkiye’de yerleşik olarak değerlendirilir.</w:t>
            </w:r>
            <w:proofErr w:type="gramEnd"/>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(21) Bu madde uyarınca akdedilecek sözleşmelerde istisna kapsamına alınan, ancak Türk Parası Kıymetini Koruma Hakkında 32 Sayılı Kararın Geçici 8 inci maddesinin yürürlüğe girdiği tarihten önce akdedilmiş bulunan sözleşmeler de anılan geçici madde hükmünden istisnadır.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(22) Türk Parası Kıymetini Koruma Hakkında 32 Sayılı Kararın Geçici 8 inci maddesinin yürürlüğe girdiği tarihten önce akdedilmiş bulunan iş makineleri dâhil taşıt kiralama sözleşmeleri anılan geçici madde hükmünden istisnadır.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(23) Bu madde uyarınca sözleşme bedeli ve bu sözleşmelerden kaynaklanan diğer ödeme yükümlülükleri döviz cinsinden veya dövize endeksli olarak kararlaştırılması mümkün olmayan sözleşmelerde yer alan bedellerin Türk Parası Kıymetini Koruma Hakkında 32 Sayılı Kararın Geçici 8 inci maddesi kapsamında Türk parası olarak taraflarca yeniden belirlenmesi zorunludur.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(24) Bu madde uyarınca sözleşme bedeli ve bu sözleşmelerden kaynaklanan diğer ödeme yükümlülükleri döviz cinsinden veya dövize endeksli olarak kararlaştırılması mümkün olmayan sözleşmelerde yer alan bedeller Türk Parası Kıymetini Koruma Hakkında 32 Sayılı Kararın Geçici 8 inci maddesi kapsamında Türk parası olarak taraflarca yeniden belirlenirken mutabakata varılamazsa; akdedilen sözleşmelerde döviz veya dövize endeksli olarak belirlenen bedeller, söz konusu bedellerin </w:t>
            </w:r>
            <w:proofErr w:type="gramStart"/>
            <w:r>
              <w:rPr>
                <w:rFonts w:ascii="Times New Roman" w:hAnsi="Times New Roman" w:cs="Times New Roman"/>
                <w:sz w:val="18"/>
                <w:szCs w:val="18"/>
                <w:lang w:eastAsia="tr-TR"/>
              </w:rPr>
              <w:t>2/1/2018</w:t>
            </w:r>
            <w:proofErr w:type="gramEnd"/>
            <w:r>
              <w:rPr>
                <w:rFonts w:ascii="Times New Roman" w:hAnsi="Times New Roman" w:cs="Times New Roman"/>
                <w:sz w:val="18"/>
                <w:szCs w:val="18"/>
                <w:lang w:eastAsia="tr-TR"/>
              </w:rPr>
              <w:t xml:space="preserve">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Türk Parası Kıymetini Koruma Hakkında 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w:t>
            </w:r>
            <w:proofErr w:type="gramStart"/>
            <w:r>
              <w:rPr>
                <w:rFonts w:ascii="Times New Roman" w:hAnsi="Times New Roman" w:cs="Times New Roman"/>
                <w:sz w:val="18"/>
                <w:szCs w:val="18"/>
                <w:lang w:eastAsia="tr-TR"/>
              </w:rPr>
              <w:t xml:space="preserve">Ancak, Türk parası olarak belirlemenin </w:t>
            </w:r>
            <w:r>
              <w:rPr>
                <w:rFonts w:ascii="Times New Roman" w:hAnsi="Times New Roman" w:cs="Times New Roman"/>
                <w:sz w:val="18"/>
                <w:szCs w:val="18"/>
                <w:lang w:eastAsia="tr-TR"/>
              </w:rPr>
              <w:lastRenderedPageBreak/>
              <w:t>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 fıkra hükmü, bu madde uyarınca sözleşme bedeli ve bu sözleşmelerden kaynaklanan diğer ödeme yükümlülükleri döviz cinsinden veya dövize endeksli olarak kararlaştırılması mümkün olmayan sözleşmelerde tahsili yapılmış veya gecikmiş alacaklar için uygulanmaz.</w:t>
            </w:r>
          </w:p>
          <w:p w:rsidR="00333E89" w:rsidRDefault="00333E8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(25) Bu maddede, istisna tanınan tarafların mutabakatıyla yeni yapılacak sözleşmelerin Türk parası cinsinden yapılmasını veya mevcut döviz cinsinden veya dövize endeksli sözleşmelerde yer alan bedellerin Türk Parası Kıymetini Koruma Hakkında 32 Sayılı Kararın Geçici 8 inci maddesi uyarınca Türk parası olarak yeniden kararlaştırılmasını talep etmesi durumunda sözleşmelerde yer alan bedeller Türk parası cinsinden kararlaştırılır.”</w:t>
            </w:r>
            <w:proofErr w:type="gramEnd"/>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Bu Tebliğ yayımı tarihinde yürürlüğe girer.</w:t>
            </w:r>
          </w:p>
          <w:p w:rsidR="00333E89" w:rsidRDefault="00333E8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Bu Tebliğ hükümlerini Hazine ve Maliye Bakanı yürütür.</w:t>
            </w:r>
          </w:p>
          <w:p w:rsidR="00333E89" w:rsidRDefault="00333E89">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482D33" w:rsidRDefault="00482D33">
      <w:bookmarkStart w:id="0" w:name="_GoBack"/>
      <w:bookmarkEnd w:id="0"/>
    </w:p>
    <w:sectPr w:rsidR="0048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89"/>
    <w:rsid w:val="00333E89"/>
    <w:rsid w:val="00482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3800B-F55C-4AF4-B49A-6C93AE45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8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1836</Words>
  <Characters>10466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2018-10-08T10:47:00Z</dcterms:created>
  <dcterms:modified xsi:type="dcterms:W3CDTF">2018-10-08T10:49:00Z</dcterms:modified>
</cp:coreProperties>
</file>