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7429E" w:rsidTr="0087429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7429E" w:rsidRDefault="0087429E">
            <w:pPr>
              <w:spacing w:line="240" w:lineRule="exact"/>
              <w:rPr>
                <w:rFonts w:ascii="Arial" w:hAnsi="Arial" w:cs="Arial"/>
                <w:b/>
                <w:bCs/>
                <w:color w:val="auto"/>
                <w:sz w:val="16"/>
                <w:szCs w:val="16"/>
                <w:lang w:eastAsia="tr-TR"/>
              </w:rPr>
            </w:pPr>
            <w:r>
              <w:rPr>
                <w:rFonts w:ascii="Arial" w:hAnsi="Arial" w:cs="Arial"/>
                <w:color w:val="auto"/>
                <w:sz w:val="16"/>
                <w:szCs w:val="16"/>
                <w:lang w:eastAsia="tr-TR"/>
              </w:rPr>
              <w:t>21 Mayıs 2015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7429E" w:rsidRDefault="0087429E">
            <w:pPr>
              <w:spacing w:line="240" w:lineRule="exact"/>
              <w:jc w:val="center"/>
              <w:rPr>
                <w:rFonts w:ascii="Palatino Linotype" w:hAnsi="Palatino Linotype"/>
                <w:b/>
                <w:bCs/>
                <w:color w:val="800080"/>
                <w:lang w:eastAsia="tr-TR"/>
              </w:rPr>
            </w:pPr>
            <w:r>
              <w:rPr>
                <w:rFonts w:ascii="Palatino Linotype" w:hAnsi="Palatino Linotype"/>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7429E" w:rsidRDefault="0087429E">
            <w:pPr>
              <w:spacing w:before="100" w:beforeAutospacing="1" w:after="100" w:afterAutospacing="1"/>
              <w:jc w:val="right"/>
              <w:rPr>
                <w:rFonts w:ascii="Arial" w:hAnsi="Arial" w:cs="Arial"/>
                <w:color w:val="auto"/>
                <w:sz w:val="16"/>
                <w:szCs w:val="16"/>
                <w:lang w:eastAsia="tr-TR"/>
              </w:rPr>
            </w:pPr>
            <w:proofErr w:type="gramStart"/>
            <w:r>
              <w:rPr>
                <w:rFonts w:ascii="Arial" w:hAnsi="Arial" w:cs="Arial"/>
                <w:color w:val="auto"/>
                <w:sz w:val="16"/>
                <w:szCs w:val="16"/>
                <w:lang w:eastAsia="tr-TR"/>
              </w:rPr>
              <w:t>Sayı : 29362</w:t>
            </w:r>
            <w:proofErr w:type="gramEnd"/>
          </w:p>
        </w:tc>
      </w:tr>
      <w:tr w:rsidR="0087429E" w:rsidTr="0087429E">
        <w:trPr>
          <w:trHeight w:val="480"/>
          <w:jc w:val="center"/>
        </w:trPr>
        <w:tc>
          <w:tcPr>
            <w:tcW w:w="8789" w:type="dxa"/>
            <w:gridSpan w:val="3"/>
            <w:tcMar>
              <w:top w:w="0" w:type="dxa"/>
              <w:left w:w="108" w:type="dxa"/>
              <w:bottom w:w="0" w:type="dxa"/>
              <w:right w:w="108" w:type="dxa"/>
            </w:tcMar>
            <w:vAlign w:val="center"/>
            <w:hideMark/>
          </w:tcPr>
          <w:p w:rsidR="0087429E" w:rsidRDefault="0087429E">
            <w:pPr>
              <w:spacing w:before="100" w:beforeAutospacing="1" w:after="100" w:afterAutospacing="1"/>
              <w:jc w:val="center"/>
              <w:rPr>
                <w:rFonts w:ascii="Arial" w:hAnsi="Arial" w:cs="Arial"/>
                <w:b/>
                <w:bCs/>
                <w:color w:val="000080"/>
                <w:sz w:val="18"/>
                <w:szCs w:val="18"/>
                <w:lang w:eastAsia="tr-TR"/>
              </w:rPr>
            </w:pPr>
            <w:r>
              <w:rPr>
                <w:rFonts w:ascii="Arial" w:hAnsi="Arial" w:cs="Arial"/>
                <w:b/>
                <w:bCs/>
                <w:color w:val="000080"/>
                <w:sz w:val="18"/>
                <w:szCs w:val="18"/>
                <w:lang w:eastAsia="tr-TR"/>
              </w:rPr>
              <w:t>TEBLİĞ</w:t>
            </w:r>
          </w:p>
        </w:tc>
      </w:tr>
      <w:tr w:rsidR="0087429E" w:rsidTr="0087429E">
        <w:trPr>
          <w:trHeight w:val="480"/>
          <w:jc w:val="center"/>
        </w:trPr>
        <w:tc>
          <w:tcPr>
            <w:tcW w:w="8789" w:type="dxa"/>
            <w:gridSpan w:val="3"/>
            <w:tcMar>
              <w:top w:w="0" w:type="dxa"/>
              <w:left w:w="108" w:type="dxa"/>
              <w:bottom w:w="0" w:type="dxa"/>
              <w:right w:w="108" w:type="dxa"/>
            </w:tcMar>
            <w:vAlign w:val="center"/>
            <w:hideMark/>
          </w:tcPr>
          <w:p w:rsidR="0087429E" w:rsidRDefault="0087429E">
            <w:pPr>
              <w:spacing w:line="240" w:lineRule="exact"/>
              <w:ind w:firstLine="566"/>
              <w:jc w:val="both"/>
              <w:rPr>
                <w:rFonts w:ascii="Times New Roman" w:hAnsi="Times New Roman"/>
                <w:color w:val="auto"/>
                <w:sz w:val="18"/>
                <w:szCs w:val="18"/>
                <w:u w:val="single"/>
                <w:lang w:eastAsia="tr-TR"/>
              </w:rPr>
            </w:pPr>
            <w:r>
              <w:rPr>
                <w:rFonts w:ascii="Times New Roman" w:hAnsi="Times New Roman"/>
                <w:color w:val="auto"/>
                <w:sz w:val="18"/>
                <w:szCs w:val="18"/>
                <w:u w:val="single"/>
                <w:lang w:eastAsia="tr-TR"/>
              </w:rPr>
              <w:t>Ekonomi Bakanlığından:</w:t>
            </w:r>
          </w:p>
          <w:p w:rsidR="0087429E" w:rsidRDefault="0087429E">
            <w:pPr>
              <w:spacing w:before="56" w:line="240" w:lineRule="exact"/>
              <w:jc w:val="center"/>
              <w:rPr>
                <w:rFonts w:ascii="Times New Roman" w:hAnsi="Times New Roman"/>
                <w:b/>
                <w:bCs/>
                <w:color w:val="auto"/>
                <w:sz w:val="18"/>
                <w:szCs w:val="18"/>
                <w:lang w:eastAsia="tr-TR"/>
              </w:rPr>
            </w:pPr>
            <w:r>
              <w:rPr>
                <w:rFonts w:ascii="Times New Roman" w:hAnsi="Times New Roman"/>
                <w:b/>
                <w:bCs/>
                <w:color w:val="auto"/>
                <w:sz w:val="18"/>
                <w:szCs w:val="18"/>
                <w:lang w:eastAsia="tr-TR"/>
              </w:rPr>
              <w:t>İTHALATTA HAKSIZ REKABETİN ÖNLENMESİNE İLİŞKİN TEBLİĞ</w:t>
            </w:r>
          </w:p>
          <w:p w:rsidR="0087429E" w:rsidRDefault="0087429E">
            <w:pPr>
              <w:spacing w:after="170" w:line="240" w:lineRule="exact"/>
              <w:jc w:val="center"/>
              <w:rPr>
                <w:rFonts w:ascii="Times New Roman" w:hAnsi="Times New Roman"/>
                <w:b/>
                <w:bCs/>
                <w:color w:val="auto"/>
                <w:sz w:val="18"/>
                <w:szCs w:val="18"/>
                <w:lang w:eastAsia="tr-TR"/>
              </w:rPr>
            </w:pPr>
            <w:r>
              <w:rPr>
                <w:rFonts w:ascii="Times New Roman" w:hAnsi="Times New Roman"/>
                <w:b/>
                <w:bCs/>
                <w:color w:val="auto"/>
                <w:sz w:val="18"/>
                <w:szCs w:val="18"/>
                <w:lang w:eastAsia="tr-TR"/>
              </w:rPr>
              <w:t>(TEBLİĞ NO: 2015/17)</w:t>
            </w:r>
          </w:p>
          <w:p w:rsidR="0087429E" w:rsidRDefault="0087429E">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Başvuru</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 –</w:t>
            </w:r>
            <w:r>
              <w:rPr>
                <w:rFonts w:ascii="Times New Roman" w:hAnsi="Times New Roman"/>
                <w:color w:val="auto"/>
                <w:sz w:val="18"/>
                <w:szCs w:val="18"/>
                <w:lang w:eastAsia="tr-TR"/>
              </w:rPr>
              <w:t xml:space="preserve"> (1) </w:t>
            </w:r>
            <w:proofErr w:type="gramStart"/>
            <w:r>
              <w:rPr>
                <w:rFonts w:ascii="Times New Roman" w:hAnsi="Times New Roman"/>
                <w:color w:val="auto"/>
                <w:sz w:val="18"/>
                <w:szCs w:val="18"/>
                <w:lang w:eastAsia="tr-TR"/>
              </w:rPr>
              <w:t>14/6/1989</w:t>
            </w:r>
            <w:proofErr w:type="gramEnd"/>
            <w:r>
              <w:rPr>
                <w:rFonts w:ascii="Times New Roman" w:hAnsi="Times New Roman"/>
                <w:color w:val="auto"/>
                <w:sz w:val="18"/>
                <w:szCs w:val="18"/>
                <w:lang w:eastAsia="tr-TR"/>
              </w:rPr>
              <w:t xml:space="preserve"> tarihli ve 3577 sayılı İthalatta Haksız Rekabetin Önlenmesi Hakkında Kanun, 30/10/1999 tarihli ve 23861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99/13482 sayılı İthalatta Haksız Rekabetin Önlenmesi Hakkında Karar (Karar) ve 30/10/1999 tarihli ve 23861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İthalatta Haksız Rekabetin Önlenmesi Hakkında Yönetmelik (Yönetmelik) hükümleri çerçevesinde, yerli üretici Uğurlu Oto Cam San. </w:t>
            </w:r>
            <w:proofErr w:type="gramStart"/>
            <w:r>
              <w:rPr>
                <w:rFonts w:ascii="Times New Roman" w:hAnsi="Times New Roman"/>
                <w:color w:val="auto"/>
                <w:sz w:val="18"/>
                <w:szCs w:val="18"/>
                <w:lang w:eastAsia="tr-TR"/>
              </w:rPr>
              <w:t xml:space="preserve">ve Tic. A.Ş. firması, Çin Halk Cumhuriyeti (ÇHC), Endonezya ve Hong Kong menşeli “yalnızca camdan tencere, tava ve çaydanlık </w:t>
            </w:r>
            <w:proofErr w:type="spellStart"/>
            <w:r>
              <w:rPr>
                <w:rFonts w:ascii="Times New Roman" w:hAnsi="Times New Roman"/>
                <w:color w:val="auto"/>
                <w:sz w:val="18"/>
                <w:szCs w:val="18"/>
                <w:lang w:eastAsia="tr-TR"/>
              </w:rPr>
              <w:t>kapakları”nın</w:t>
            </w:r>
            <w:proofErr w:type="spellEnd"/>
            <w:r>
              <w:rPr>
                <w:rFonts w:ascii="Times New Roman" w:hAnsi="Times New Roman"/>
                <w:color w:val="auto"/>
                <w:sz w:val="18"/>
                <w:szCs w:val="18"/>
                <w:lang w:eastAsia="tr-TR"/>
              </w:rPr>
              <w:t xml:space="preserve"> ithalinde uygulanmakta olan dampinge karşı kesin önlemlerin yürürlükten kalkması halinde dampingin ve zararın devam etmesinin veya yeniden meydana gelmesinin muhtemel olduğu gerekçesiyle bir nihai gözden geçirme soruşturması (NGGS) açılması istemiyle başvuruda bulunmuştur. </w:t>
            </w:r>
            <w:proofErr w:type="gramEnd"/>
            <w:r>
              <w:rPr>
                <w:rFonts w:ascii="Times New Roman" w:hAnsi="Times New Roman"/>
                <w:color w:val="auto"/>
                <w:sz w:val="18"/>
                <w:szCs w:val="18"/>
                <w:lang w:eastAsia="tr-TR"/>
              </w:rPr>
              <w:t>İlgili başvuru, söz konusu ürünün diğer yerli üreticileri olan Ada Cam Babaeski Cam San. ve Tic. Ltd. Şti</w:t>
            </w:r>
            <w:proofErr w:type="gramStart"/>
            <w:r>
              <w:rPr>
                <w:rFonts w:ascii="Times New Roman" w:hAnsi="Times New Roman"/>
                <w:color w:val="auto"/>
                <w:sz w:val="18"/>
                <w:szCs w:val="18"/>
                <w:lang w:eastAsia="tr-TR"/>
              </w:rPr>
              <w:t>.,</w:t>
            </w:r>
            <w:proofErr w:type="gramEnd"/>
            <w:r>
              <w:rPr>
                <w:rFonts w:ascii="Times New Roman" w:hAnsi="Times New Roman"/>
                <w:color w:val="auto"/>
                <w:sz w:val="18"/>
                <w:szCs w:val="18"/>
                <w:lang w:eastAsia="tr-TR"/>
              </w:rPr>
              <w:t xml:space="preserve"> </w:t>
            </w:r>
            <w:proofErr w:type="spellStart"/>
            <w:r>
              <w:rPr>
                <w:rFonts w:ascii="Times New Roman" w:hAnsi="Times New Roman"/>
                <w:color w:val="auto"/>
                <w:sz w:val="18"/>
                <w:szCs w:val="18"/>
                <w:lang w:eastAsia="tr-TR"/>
              </w:rPr>
              <w:t>Cammar</w:t>
            </w:r>
            <w:proofErr w:type="spellEnd"/>
            <w:r>
              <w:rPr>
                <w:rFonts w:ascii="Times New Roman" w:hAnsi="Times New Roman"/>
                <w:color w:val="auto"/>
                <w:sz w:val="18"/>
                <w:szCs w:val="18"/>
                <w:lang w:eastAsia="tr-TR"/>
              </w:rPr>
              <w:t xml:space="preserve"> Metal Cam. Bak. </w:t>
            </w:r>
            <w:proofErr w:type="spellStart"/>
            <w:r>
              <w:rPr>
                <w:rFonts w:ascii="Times New Roman" w:hAnsi="Times New Roman"/>
                <w:color w:val="auto"/>
                <w:sz w:val="18"/>
                <w:szCs w:val="18"/>
                <w:lang w:eastAsia="tr-TR"/>
              </w:rPr>
              <w:t>Plas</w:t>
            </w:r>
            <w:proofErr w:type="spellEnd"/>
            <w:r>
              <w:rPr>
                <w:rFonts w:ascii="Times New Roman" w:hAnsi="Times New Roman"/>
                <w:color w:val="auto"/>
                <w:sz w:val="18"/>
                <w:szCs w:val="18"/>
                <w:lang w:eastAsia="tr-TR"/>
              </w:rPr>
              <w:t xml:space="preserve">. San. Tic. Ltd. Şti ve Ufuk Metal San. ve Tic. Ltd. Şti. tarafından da desteklenmiştir. </w:t>
            </w:r>
          </w:p>
          <w:p w:rsidR="0087429E" w:rsidRDefault="0087429E">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Önleme tabi ürün</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2 –</w:t>
            </w:r>
            <w:r>
              <w:rPr>
                <w:rFonts w:ascii="Times New Roman" w:hAnsi="Times New Roman"/>
                <w:color w:val="auto"/>
                <w:sz w:val="18"/>
                <w:szCs w:val="18"/>
                <w:lang w:eastAsia="tr-TR"/>
              </w:rPr>
              <w:t xml:space="preserve"> (1) Önleme tabi ürün, 7010.20.00.00.00 gümrük tarife istatistik pozisyonunda (GTİP) yer alan “yalnızca camdan tencere, tava, çaydanlık </w:t>
            </w:r>
            <w:proofErr w:type="spellStart"/>
            <w:r>
              <w:rPr>
                <w:rFonts w:ascii="Times New Roman" w:hAnsi="Times New Roman"/>
                <w:color w:val="auto"/>
                <w:sz w:val="18"/>
                <w:szCs w:val="18"/>
                <w:lang w:eastAsia="tr-TR"/>
              </w:rPr>
              <w:t>kapakları”dır</w:t>
            </w:r>
            <w:proofErr w:type="spellEnd"/>
            <w:r>
              <w:rPr>
                <w:rFonts w:ascii="Times New Roman" w:hAnsi="Times New Roman"/>
                <w:color w:val="auto"/>
                <w:sz w:val="18"/>
                <w:szCs w:val="18"/>
                <w:lang w:eastAsia="tr-TR"/>
              </w:rPr>
              <w:t>.</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(2) Bahse konu GTİP, yalnızca bilgi amaçlı verilmiş olup, bağlayıcı mahiyette değildir.</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(3) Önleme tabi ürünün Türk Gümrük Tarife Cetvelinde yer alan tarife pozisyonunda ve/veya eşya tanımında yapılacak değişiklikler bu Tebliğ hükümlerinin uygulanmasına halel getirmez.</w:t>
            </w:r>
          </w:p>
          <w:p w:rsidR="0087429E" w:rsidRDefault="0087429E">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Başvurunun temsil niteliği</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3 –</w:t>
            </w:r>
            <w:r>
              <w:rPr>
                <w:rFonts w:ascii="Times New Roman" w:hAnsi="Times New Roman"/>
                <w:color w:val="auto"/>
                <w:sz w:val="18"/>
                <w:szCs w:val="18"/>
                <w:lang w:eastAsia="tr-TR"/>
              </w:rPr>
              <w:t xml:space="preserve"> (1) Başvuru aşamasında sunulan delillerden, başvurunun Yönetmeliğin 20 </w:t>
            </w:r>
            <w:proofErr w:type="spellStart"/>
            <w:r>
              <w:rPr>
                <w:rFonts w:ascii="Times New Roman" w:hAnsi="Times New Roman"/>
                <w:color w:val="auto"/>
                <w:sz w:val="18"/>
                <w:szCs w:val="18"/>
                <w:lang w:eastAsia="tr-TR"/>
              </w:rPr>
              <w:t>nci</w:t>
            </w:r>
            <w:proofErr w:type="spellEnd"/>
            <w:r>
              <w:rPr>
                <w:rFonts w:ascii="Times New Roman" w:hAnsi="Times New Roman"/>
                <w:color w:val="auto"/>
                <w:sz w:val="18"/>
                <w:szCs w:val="18"/>
                <w:lang w:eastAsia="tr-TR"/>
              </w:rPr>
              <w:t xml:space="preserve"> maddesi çerçevesinde yerli üretim dalını temsil niteliğini haiz olduğu anlaşılmıştır.</w:t>
            </w:r>
          </w:p>
          <w:p w:rsidR="0087429E" w:rsidRDefault="0087429E">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 xml:space="preserve">Mevcut önlem </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4 –</w:t>
            </w:r>
            <w:r>
              <w:rPr>
                <w:rFonts w:ascii="Times New Roman" w:hAnsi="Times New Roman"/>
                <w:color w:val="auto"/>
                <w:sz w:val="18"/>
                <w:szCs w:val="18"/>
                <w:lang w:eastAsia="tr-TR"/>
              </w:rPr>
              <w:t xml:space="preserve"> (1) </w:t>
            </w:r>
            <w:proofErr w:type="gramStart"/>
            <w:r>
              <w:rPr>
                <w:rFonts w:ascii="Times New Roman" w:hAnsi="Times New Roman"/>
                <w:color w:val="auto"/>
                <w:sz w:val="18"/>
                <w:szCs w:val="18"/>
                <w:lang w:eastAsia="tr-TR"/>
              </w:rPr>
              <w:t>20/12/2003</w:t>
            </w:r>
            <w:proofErr w:type="gramEnd"/>
            <w:r>
              <w:rPr>
                <w:rFonts w:ascii="Times New Roman" w:hAnsi="Times New Roman"/>
                <w:color w:val="auto"/>
                <w:sz w:val="18"/>
                <w:szCs w:val="18"/>
                <w:lang w:eastAsia="tr-TR"/>
              </w:rPr>
              <w:t xml:space="preserve"> tarihli ve 25322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İthalatta Haksız Rekabetin Önlenmesine İlişkin Tebliğ (Tebliğ No: 2003/22) sayılı Tebliğ ile ÇHC menşeli “yalnızca camdan tencere, tava ve çaydanlık kapakları” için 0,91 ABD Doları/Kg tutarında dampinge karşı kesin önlem yürürlüğe konulmuştur. Söz konusu önlemin yürürlük süresi, yürütülen NGGS neticesinde </w:t>
            </w:r>
            <w:proofErr w:type="gramStart"/>
            <w:r>
              <w:rPr>
                <w:rFonts w:ascii="Times New Roman" w:hAnsi="Times New Roman"/>
                <w:color w:val="auto"/>
                <w:sz w:val="18"/>
                <w:szCs w:val="18"/>
                <w:lang w:eastAsia="tr-TR"/>
              </w:rPr>
              <w:t>23/5/2010</w:t>
            </w:r>
            <w:proofErr w:type="gramEnd"/>
            <w:r>
              <w:rPr>
                <w:rFonts w:ascii="Times New Roman" w:hAnsi="Times New Roman"/>
                <w:color w:val="auto"/>
                <w:sz w:val="18"/>
                <w:szCs w:val="18"/>
                <w:lang w:eastAsia="tr-TR"/>
              </w:rPr>
              <w:t xml:space="preserve"> tarihli ve 27589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İthalatta Haksız Rekabetin Önlenmesine İlişkin Tebliğ (Tebliğ No: 2010/12) ile uzatılmıştır. Aynı Tebliğ kapsamında ayrıca, bahse konu ürünün Endonezya ve Hong Kong menşeli olanlarında, Endonezya için 0,14 ABD Doları/Kg ile 0,50 ABD Doları/Kg arasında değişen tutarlarda; Hong Kong için ise 0,91 ABD Doları/Kg tutarında dampinge karşı önlemler yürürlüğe konulmuştur.</w:t>
            </w:r>
          </w:p>
          <w:p w:rsidR="0087429E" w:rsidRDefault="0087429E">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 xml:space="preserve">Gerekçe </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5 –</w:t>
            </w:r>
            <w:r>
              <w:rPr>
                <w:rFonts w:ascii="Times New Roman" w:hAnsi="Times New Roman"/>
                <w:color w:val="auto"/>
                <w:sz w:val="18"/>
                <w:szCs w:val="18"/>
                <w:lang w:eastAsia="tr-TR"/>
              </w:rPr>
              <w:t xml:space="preserve"> (1) </w:t>
            </w:r>
            <w:proofErr w:type="gramStart"/>
            <w:r>
              <w:rPr>
                <w:rFonts w:ascii="Times New Roman" w:hAnsi="Times New Roman"/>
                <w:color w:val="auto"/>
                <w:sz w:val="18"/>
                <w:szCs w:val="18"/>
                <w:lang w:eastAsia="tr-TR"/>
              </w:rPr>
              <w:t>19/7/2014</w:t>
            </w:r>
            <w:proofErr w:type="gramEnd"/>
            <w:r>
              <w:rPr>
                <w:rFonts w:ascii="Times New Roman" w:hAnsi="Times New Roman"/>
                <w:color w:val="auto"/>
                <w:sz w:val="18"/>
                <w:szCs w:val="18"/>
                <w:lang w:eastAsia="tr-TR"/>
              </w:rPr>
              <w:t xml:space="preserve"> tarihli ve 29065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İthalatta Haksız Rekabetin Önlenmesine İlişkin Tebliğ (Tebliğ No: 2014/21) ile söz konusu ürüne ilişkin önlemlerin 23/5/2014 tarihinde sona ereceği, yerli üretim dalının mevzuatta öngörülen sürede yeterli delillerle desteklenmiş bir başvuru ile NGGS açılması talebinde bulunabileceği duyurulmuştur.</w:t>
            </w:r>
          </w:p>
          <w:p w:rsidR="0087429E" w:rsidRDefault="0087429E">
            <w:pPr>
              <w:spacing w:line="240" w:lineRule="exact"/>
              <w:ind w:firstLine="566"/>
              <w:jc w:val="both"/>
              <w:rPr>
                <w:rFonts w:ascii="Times New Roman" w:hAnsi="Times New Roman"/>
                <w:color w:val="auto"/>
                <w:sz w:val="18"/>
                <w:szCs w:val="18"/>
                <w:lang w:eastAsia="tr-TR"/>
              </w:rPr>
            </w:pPr>
            <w:proofErr w:type="gramStart"/>
            <w:r>
              <w:rPr>
                <w:rFonts w:ascii="Times New Roman" w:hAnsi="Times New Roman"/>
                <w:color w:val="auto"/>
                <w:sz w:val="18"/>
                <w:szCs w:val="18"/>
                <w:lang w:eastAsia="tr-TR"/>
              </w:rPr>
              <w:t>(2) Bu çerçevede yerli üretici tarafından sağlanan bilgi ve belgeler ile TÜİK ithalat istatistiklerinden yararlanılarak gerçekleştirilen inceleme neticesinde, ÇHC, Endonezya ve Hong Kong menşeli önleme konu ürün için uygulanan dampinge karşı önlemlerin yürürlükten kalkması halinde dampingin ve zararın devam etmesinin veya yeniden meydana gelmesinin muhtemel olduğuna ilişkin olarak bir NGGS açılması için yeterli delillerin bulunduğu anlaşılmıştır.</w:t>
            </w:r>
            <w:proofErr w:type="gramEnd"/>
          </w:p>
          <w:p w:rsidR="0087429E" w:rsidRDefault="0087429E">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Karar ve işlemler</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6 –</w:t>
            </w:r>
            <w:r>
              <w:rPr>
                <w:rFonts w:ascii="Times New Roman" w:hAnsi="Times New Roman"/>
                <w:color w:val="auto"/>
                <w:sz w:val="18"/>
                <w:szCs w:val="18"/>
                <w:lang w:eastAsia="tr-TR"/>
              </w:rPr>
              <w:t xml:space="preserve"> (1) Bir NGGS açılabilmesi için yeterli bilgi, belge ve delillerin bulunduğu anlaşıldığından, İthalatta Haksız Rekabeti Değerlendirme Kurulu tarafından ÇHC, Endonezya ve Hong Kong menşeli söz konusu ürün için Yönetmeliğin 35 inci maddesi çerçevesinde bir NGGS açılmasına karar verilmiştir.</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(2) ÇHC, Endonezya ve Hong Kong menşeli ithalatta uygulanan soruşturmaya konu mevcut önlemler, Yönetmeliğin 35 inci maddesi gereğince, soruşturma sonuçlanıncaya kadar yürürlükte kalmaya devam eder.</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(3) Soruşturma, Ekonomi Bakanlığı İthalat Genel Müdürlüğü (Genel Müdürlük) tarafından yürütülecektir.</w:t>
            </w:r>
          </w:p>
          <w:p w:rsidR="0087429E" w:rsidRDefault="0087429E">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Piyasa ekonomisi değerlendirmesi</w:t>
            </w:r>
          </w:p>
          <w:p w:rsidR="0087429E" w:rsidRDefault="0087429E">
            <w:pPr>
              <w:spacing w:line="240" w:lineRule="exact"/>
              <w:ind w:firstLine="566"/>
              <w:jc w:val="both"/>
              <w:rPr>
                <w:rFonts w:ascii="Times New Roman" w:hAnsi="Times New Roman"/>
                <w:color w:val="auto"/>
                <w:sz w:val="18"/>
                <w:szCs w:val="18"/>
                <w:lang w:eastAsia="tr-TR"/>
              </w:rPr>
            </w:pPr>
            <w:proofErr w:type="gramStart"/>
            <w:r>
              <w:rPr>
                <w:rFonts w:ascii="Times New Roman" w:hAnsi="Times New Roman"/>
                <w:b/>
                <w:bCs/>
                <w:color w:val="auto"/>
                <w:sz w:val="18"/>
                <w:szCs w:val="18"/>
                <w:lang w:eastAsia="tr-TR"/>
              </w:rPr>
              <w:t>MADDE 7 –</w:t>
            </w:r>
            <w:r>
              <w:rPr>
                <w:rFonts w:ascii="Times New Roman" w:hAnsi="Times New Roman"/>
                <w:color w:val="auto"/>
                <w:sz w:val="18"/>
                <w:szCs w:val="18"/>
                <w:lang w:eastAsia="tr-TR"/>
              </w:rPr>
              <w:t xml:space="preserve"> (1) Genel Müdürlük tarafından Yönetmeliğin 40 </w:t>
            </w:r>
            <w:proofErr w:type="spellStart"/>
            <w:r>
              <w:rPr>
                <w:rFonts w:ascii="Times New Roman" w:hAnsi="Times New Roman"/>
                <w:color w:val="auto"/>
                <w:sz w:val="18"/>
                <w:szCs w:val="18"/>
                <w:lang w:eastAsia="tr-TR"/>
              </w:rPr>
              <w:t>ıncı</w:t>
            </w:r>
            <w:proofErr w:type="spellEnd"/>
            <w:r>
              <w:rPr>
                <w:rFonts w:ascii="Times New Roman" w:hAnsi="Times New Roman"/>
                <w:color w:val="auto"/>
                <w:sz w:val="18"/>
                <w:szCs w:val="18"/>
                <w:lang w:eastAsia="tr-TR"/>
              </w:rPr>
              <w:t xml:space="preserve"> ve 41 inci maddelerinde öngörülen hükümler saklı kalmak üzere soruşturma kapsamında normal değer tespitine karar verilmesi halinde; </w:t>
            </w:r>
            <w:proofErr w:type="spellStart"/>
            <w:r>
              <w:rPr>
                <w:rFonts w:ascii="Times New Roman" w:hAnsi="Times New Roman"/>
                <w:color w:val="auto"/>
                <w:sz w:val="18"/>
                <w:szCs w:val="18"/>
                <w:lang w:eastAsia="tr-TR"/>
              </w:rPr>
              <w:t>ÇHC’de</w:t>
            </w:r>
            <w:proofErr w:type="spellEnd"/>
            <w:r>
              <w:rPr>
                <w:rFonts w:ascii="Times New Roman" w:hAnsi="Times New Roman"/>
                <w:color w:val="auto"/>
                <w:sz w:val="18"/>
                <w:szCs w:val="18"/>
                <w:lang w:eastAsia="tr-TR"/>
              </w:rPr>
              <w:t xml:space="preserve"> soruşturmaya tabi üretici veya üreticilerin soruşturma konusu ürünün üretiminde ve satışında Yönetmelik Ek Madde 1’deki ölçütler çerçevesinde piyasa ekonomisi koşullarının geçerli olduğunu bu Tebliğin 8 inci maddesinde belirtilen süreler içinde </w:t>
            </w:r>
            <w:r>
              <w:rPr>
                <w:rFonts w:ascii="Times New Roman" w:hAnsi="Times New Roman"/>
                <w:color w:val="auto"/>
                <w:sz w:val="18"/>
                <w:szCs w:val="18"/>
                <w:lang w:eastAsia="tr-TR"/>
              </w:rPr>
              <w:lastRenderedPageBreak/>
              <w:t xml:space="preserve">yeterli deliller ile ispat etmesi durumunda bu üretici veya üreticiler için normal değerin tespitinde Yönetmeliğin 5 inci maddesi, aksi takdirde Yönetmeliğin 7 </w:t>
            </w:r>
            <w:proofErr w:type="spellStart"/>
            <w:r>
              <w:rPr>
                <w:rFonts w:ascii="Times New Roman" w:hAnsi="Times New Roman"/>
                <w:color w:val="auto"/>
                <w:sz w:val="18"/>
                <w:szCs w:val="18"/>
                <w:lang w:eastAsia="tr-TR"/>
              </w:rPr>
              <w:t>nci</w:t>
            </w:r>
            <w:proofErr w:type="spellEnd"/>
            <w:r>
              <w:rPr>
                <w:rFonts w:ascii="Times New Roman" w:hAnsi="Times New Roman"/>
                <w:color w:val="auto"/>
                <w:sz w:val="18"/>
                <w:szCs w:val="18"/>
                <w:lang w:eastAsia="tr-TR"/>
              </w:rPr>
              <w:t xml:space="preserve"> maddesi hükümleri uygulanır. </w:t>
            </w:r>
            <w:proofErr w:type="gramEnd"/>
            <w:r>
              <w:rPr>
                <w:rFonts w:ascii="Times New Roman" w:hAnsi="Times New Roman"/>
                <w:color w:val="auto"/>
                <w:sz w:val="18"/>
                <w:szCs w:val="18"/>
                <w:lang w:eastAsia="tr-TR"/>
              </w:rPr>
              <w:t xml:space="preserve">Yönetmeliğin 7 </w:t>
            </w:r>
            <w:proofErr w:type="spellStart"/>
            <w:r>
              <w:rPr>
                <w:rFonts w:ascii="Times New Roman" w:hAnsi="Times New Roman"/>
                <w:color w:val="auto"/>
                <w:sz w:val="18"/>
                <w:szCs w:val="18"/>
                <w:lang w:eastAsia="tr-TR"/>
              </w:rPr>
              <w:t>nci</w:t>
            </w:r>
            <w:proofErr w:type="spellEnd"/>
            <w:r>
              <w:rPr>
                <w:rFonts w:ascii="Times New Roman" w:hAnsi="Times New Roman"/>
                <w:color w:val="auto"/>
                <w:sz w:val="18"/>
                <w:szCs w:val="18"/>
                <w:lang w:eastAsia="tr-TR"/>
              </w:rPr>
              <w:t xml:space="preserve"> maddesi hükümlerinin tatbiki halinde adı geçen ülke için serbest piyasa ekonomisi uygulayan emsal ülke olarak Türkiye’nin seçilmesi öngörülmektedir. </w:t>
            </w:r>
          </w:p>
          <w:p w:rsidR="0087429E" w:rsidRDefault="0087429E">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Soru formları ve bilgilerin toplanması</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8 –</w:t>
            </w:r>
            <w:r>
              <w:rPr>
                <w:rFonts w:ascii="Times New Roman" w:hAnsi="Times New Roman"/>
                <w:color w:val="auto"/>
                <w:sz w:val="18"/>
                <w:szCs w:val="18"/>
                <w:lang w:eastAsia="tr-TR"/>
              </w:rPr>
              <w:t xml:space="preserve"> (1) Soruşturma açılmasını müteakip, başvuruda belirtilen ve Bakanlıkça tespit edilen soruşturmaya konu ürünün bilinen ithalatçılarına, soruşturma konusu ülkelerde yerleşik bilinen üretici/ihracatçılarına ve soruşturmaya konu ülkeler Büyükelçiliklerine soruşturmanın açılışına ilişkin bildirimde bulunulacaktır.</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(2) Bildirimde, soruşturma açılış Tebliğine, başvurunun gizli olmayan özetine ve soru formlarına nasıl erişileceği hususunda bilgi verilecektir.</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(3) Bakanlıkça tespit edilememesi nedeniyle bildirim gönderilemeyen veya kendilerine bildirim ulaşmayan diğer ilgili tarafların soru formuna Ekonomi Bakanlığına ait internet sayfasındaki ilgili bölümden erişmeleri mümkün bulunmaktadır.</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(4) Soruşturmaya ilişkin yazılı ve sözlü iletişimler Türkçe yapılacaktır. İlgili tarafların soru formuna ilişkin yanıtlarını ve bu yanıtlar dışında kalan tüm bilgi, belge, görüş ve taleplerini yazılı olarak Türkçe sunmaları gerekmektedir.</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(5) İlgili taraflar, soru formunda istenilen bilgiler haricinde, soruşturmayla ilgili olduğu düşünülen diğer bilgi, belge ve görüşlerini, destekleyici deliller ile birlikte Genel Müdürlüğe yazılı olarak 9 uncu maddenin ikinci fıkrasında belirtilen süre içerisinde sunabilirler.</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(6) Soruşturmanın sonucundan etkilenebileceklerini iddia eden; ancak bu maddenin birinci ve üçüncü fıkraları kapsamına girmeyen diğer ilgili taraflar (ürünü girdi olarak kullanan işletmeler, meslek kuruluşları, tüketici dernekleri, üretim dalındaki işçi veya işveren sendikaları gibi) görüşlerini Genel Müdürlüğe yazılı olarak 9 uncu maddenin üçüncü fıkrasında belirtilen süre içerisinde sunabilirler.</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(7) İlgili taraflarca soru formuna verilen cevaplar, soruşturmayla ilgili sunulan diğer bilgi, belge ve görüşler ile destekleyici deliller aksi belirtilmedikçe yazılı olarak sunulur. Yazılı sunumlarda ilgili tarafların isim ve unvanı, adres bilgileri, elektronik posta adresi, telefon ve faks numaraları belirtilmelidir.</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(8) Soruşturma süresince Yönetmeliğin 22 </w:t>
            </w:r>
            <w:proofErr w:type="spellStart"/>
            <w:r>
              <w:rPr>
                <w:rFonts w:ascii="Times New Roman" w:hAnsi="Times New Roman"/>
                <w:color w:val="auto"/>
                <w:sz w:val="18"/>
                <w:szCs w:val="18"/>
                <w:lang w:eastAsia="tr-TR"/>
              </w:rPr>
              <w:t>nci</w:t>
            </w:r>
            <w:proofErr w:type="spellEnd"/>
            <w:r>
              <w:rPr>
                <w:rFonts w:ascii="Times New Roman" w:hAnsi="Times New Roman"/>
                <w:color w:val="auto"/>
                <w:sz w:val="18"/>
                <w:szCs w:val="18"/>
                <w:lang w:eastAsia="tr-TR"/>
              </w:rPr>
              <w:t xml:space="preserve"> maddesinin ikinci fıkrası çerçevesinde gizlilik kaydıyla verilen her tür bilgi, belge ve görüşün gizli olmayan bir özeti sunulmalıdır. Gizli olmayan özet, esas bilginin makul ölçüde anlaşılmasına olanak sağlayacak ayrıntıda olmalıdır. İlgili taraflar, istisnai hallerde bu bilgilerin özetlenemeyecek nitelikte olduklarını belirtebilirler. Bu gibi istisnai durumlarda, bilgilerin özetlenemeyecek nitelikte olmasının nedenlerinin belirtilmesi gerekir.</w:t>
            </w:r>
          </w:p>
          <w:p w:rsidR="0087429E" w:rsidRDefault="0087429E">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Süreler</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9 –</w:t>
            </w:r>
            <w:r>
              <w:rPr>
                <w:rFonts w:ascii="Times New Roman" w:hAnsi="Times New Roman"/>
                <w:color w:val="auto"/>
                <w:sz w:val="18"/>
                <w:szCs w:val="18"/>
                <w:lang w:eastAsia="tr-TR"/>
              </w:rPr>
              <w:t xml:space="preserve"> (1) 8 inci maddenin birinci fıkrasında belirtilen bildirimin gönderildiği bütün ilgili taraflar için soru formunu cevaplandırma süresi, soruşturmanın açılışına ilişkin bildirimin gönderildiği tarihten itibaren posta süresi dâhil 37 gündür.</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(2) 8 inci maddenin üçüncü fıkrasında belirtilen bildirimin gönderilmediği bütün ilgili taraflar, soruşturma ile ilgili görüşlerini ve soru formuna ilişkin cevaplarını bu Tebliğin yayımı tarihinden itibaren başlayacak 37 günlük süre içerisinde sunabilirler.</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(3) Soruşturmanın sonucundan etkilenebileceklerini iddia eden ancak 8 inci maddenin altıncı fıkrası kapsamına giren diğer ilgili taraflar, soruşturma ile ilgili görüşlerini bu Tebliğin yayımı tarihinden itibaren soruşturmanın akışını etkilemeyecek şekilde soruşturma süreci içerisinde sunabilirler.</w:t>
            </w:r>
          </w:p>
          <w:p w:rsidR="0087429E" w:rsidRDefault="0087429E">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İşbirliğine gelinmemesi</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10 –</w:t>
            </w:r>
            <w:r>
              <w:rPr>
                <w:rFonts w:ascii="Times New Roman" w:hAnsi="Times New Roman"/>
                <w:color w:val="auto"/>
                <w:sz w:val="18"/>
                <w:szCs w:val="18"/>
                <w:lang w:eastAsia="tr-TR"/>
              </w:rPr>
              <w:t xml:space="preserve"> (1) Yönetmeliğin 26 </w:t>
            </w:r>
            <w:proofErr w:type="spellStart"/>
            <w:r>
              <w:rPr>
                <w:rFonts w:ascii="Times New Roman" w:hAnsi="Times New Roman"/>
                <w:color w:val="auto"/>
                <w:sz w:val="18"/>
                <w:szCs w:val="18"/>
                <w:lang w:eastAsia="tr-TR"/>
              </w:rPr>
              <w:t>ncı</w:t>
            </w:r>
            <w:proofErr w:type="spellEnd"/>
            <w:r>
              <w:rPr>
                <w:rFonts w:ascii="Times New Roman" w:hAnsi="Times New Roman"/>
                <w:color w:val="auto"/>
                <w:sz w:val="18"/>
                <w:szCs w:val="18"/>
                <w:lang w:eastAsia="tr-TR"/>
              </w:rPr>
              <w:t xml:space="preserve"> maddesinde belirtildiği üzere, taraflardan birinin belirtilen süreler içinde gerekli bilgiyi sağlamaması veya yanlış bilgi vermesi ya da bilgi vermeyi reddetmesi veya soruşturmayı engellediğinin anlaşılması halinde soruşturmaya ilişkin karar, olumlu veya olumsuz, mevcut verilere göre alınacaktır.</w:t>
            </w:r>
          </w:p>
          <w:p w:rsidR="0087429E" w:rsidRDefault="0087429E">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Yetkili merci ve adresi</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11 –</w:t>
            </w:r>
            <w:r>
              <w:rPr>
                <w:rFonts w:ascii="Times New Roman" w:hAnsi="Times New Roman"/>
                <w:color w:val="auto"/>
                <w:sz w:val="18"/>
                <w:szCs w:val="18"/>
                <w:lang w:eastAsia="tr-TR"/>
              </w:rPr>
              <w:t xml:space="preserve"> (1) Soruşturmayla ilgili bilgi ve belgeler ile görüşlerin aşağıda belirtilen yetkili mercie iletilmesi gerekmektedir.</w:t>
            </w:r>
          </w:p>
          <w:p w:rsidR="0087429E" w:rsidRDefault="0087429E">
            <w:pPr>
              <w:spacing w:before="113"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T.C. Ekonomi Bakanlığı</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İthalat Genel Müdürlüğü</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Damping ve Sübvansiyon Araştırma Dairesi</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İnönü Bulvarı No: 36, Emek/ANKARA</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Faks: +90-312-204 86 33 </w:t>
            </w:r>
          </w:p>
          <w:p w:rsidR="0087429E" w:rsidRDefault="0087429E">
            <w:pPr>
              <w:spacing w:after="113"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E-posta: </w:t>
            </w:r>
            <w:hyperlink r:id="rId4" w:history="1">
              <w:r>
                <w:rPr>
                  <w:rStyle w:val="Kpr"/>
                  <w:rFonts w:ascii="Times New Roman" w:hAnsi="Times New Roman"/>
                  <w:sz w:val="18"/>
                  <w:szCs w:val="18"/>
                  <w:lang w:eastAsia="tr-TR"/>
                </w:rPr>
                <w:t>ngs162@ekonomi.gov.tr</w:t>
              </w:r>
            </w:hyperlink>
          </w:p>
          <w:p w:rsidR="0087429E" w:rsidRDefault="0087429E">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Soruşturmanın başlangıç tarihi</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12 –</w:t>
            </w:r>
            <w:r>
              <w:rPr>
                <w:rFonts w:ascii="Times New Roman" w:hAnsi="Times New Roman"/>
                <w:color w:val="auto"/>
                <w:sz w:val="18"/>
                <w:szCs w:val="18"/>
                <w:lang w:eastAsia="tr-TR"/>
              </w:rPr>
              <w:t xml:space="preserve"> (1) Soruşturma, bu Tebliğin yayımı tarihinde başlamış kabul edilir.</w:t>
            </w:r>
          </w:p>
          <w:p w:rsidR="0087429E" w:rsidRDefault="0087429E">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Yürürlük</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lastRenderedPageBreak/>
              <w:t>MADDE 13 –</w:t>
            </w:r>
            <w:r>
              <w:rPr>
                <w:rFonts w:ascii="Times New Roman" w:hAnsi="Times New Roman"/>
                <w:color w:val="auto"/>
                <w:sz w:val="18"/>
                <w:szCs w:val="18"/>
                <w:lang w:eastAsia="tr-TR"/>
              </w:rPr>
              <w:t xml:space="preserve"> (1) Bu Tebliğ yayımı tarihinde yürürlüğe girer.</w:t>
            </w:r>
          </w:p>
          <w:p w:rsidR="0087429E" w:rsidRDefault="0087429E">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Yürütme</w:t>
            </w:r>
          </w:p>
          <w:p w:rsidR="0087429E" w:rsidRDefault="0087429E">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14 –</w:t>
            </w:r>
            <w:r>
              <w:rPr>
                <w:rFonts w:ascii="Times New Roman" w:hAnsi="Times New Roman"/>
                <w:color w:val="auto"/>
                <w:sz w:val="18"/>
                <w:szCs w:val="18"/>
                <w:lang w:eastAsia="tr-TR"/>
              </w:rPr>
              <w:t xml:space="preserve"> (1) Bu Tebliğ hükümlerini Ekonomi Bakanı yürütür.</w:t>
            </w:r>
          </w:p>
        </w:tc>
      </w:tr>
    </w:tbl>
    <w:p w:rsidR="0087429E" w:rsidRDefault="0087429E" w:rsidP="0087429E"/>
    <w:p w:rsidR="0087429E" w:rsidRDefault="0087429E" w:rsidP="0087429E"/>
    <w:p w:rsidR="00287835" w:rsidRDefault="00287835">
      <w:bookmarkStart w:id="0" w:name="_GoBack"/>
      <w:bookmarkEnd w:id="0"/>
    </w:p>
    <w:sectPr w:rsidR="00287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9E"/>
    <w:rsid w:val="00287835"/>
    <w:rsid w:val="008742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604EB-DD8C-435A-AC2B-D89BB3B3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9E"/>
    <w:pPr>
      <w:spacing w:after="0" w:line="240" w:lineRule="auto"/>
    </w:pPr>
    <w:rPr>
      <w:rFonts w:ascii="Verdana" w:hAnsi="Verdana" w:cs="Times New Roman"/>
      <w:color w:val="383838"/>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7429E"/>
    <w:rPr>
      <w:color w:val="B24B4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gs162@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1383</Words>
  <Characters>7886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2015-05-21T08:45:00Z</dcterms:created>
  <dcterms:modified xsi:type="dcterms:W3CDTF">2015-05-21T08:49:00Z</dcterms:modified>
</cp:coreProperties>
</file>