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672A" w:rsidTr="007B672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7B672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2A" w:rsidRDefault="007B672A">
                  <w:pPr>
                    <w:spacing w:line="240" w:lineRule="atLeas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Mayıs 2016 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2A" w:rsidRDefault="007B672A">
                  <w:pPr>
                    <w:spacing w:line="240" w:lineRule="atLeast"/>
                    <w:jc w:val="center"/>
                  </w:pPr>
                  <w:r>
                    <w:rPr>
                      <w:rFonts w:ascii="Palatino Linotype" w:hAnsi="Palatino Linotype"/>
                      <w:b/>
                      <w:bCs/>
                      <w:color w:val="800080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2A" w:rsidRDefault="007B672A">
                  <w:pPr>
                    <w:pStyle w:val="NormalWeb"/>
                    <w:jc w:val="right"/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Sayı : 29713</w:t>
                  </w:r>
                  <w:proofErr w:type="gramEnd"/>
                </w:p>
              </w:tc>
            </w:tr>
            <w:tr w:rsidR="007B672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2A" w:rsidRDefault="007B672A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7B672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2A" w:rsidRDefault="007B672A">
                  <w:pPr>
                    <w:pStyle w:val="balk11pt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Ekonomi Bakanlığından:</w:t>
                  </w:r>
                </w:p>
                <w:p w:rsidR="007B672A" w:rsidRDefault="007B672A">
                  <w:pPr>
                    <w:pStyle w:val="ortabalkbold"/>
                    <w:spacing w:before="56" w:beforeAutospacing="0" w:after="0" w:afterAutospacing="0" w:line="240" w:lineRule="atLeast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İTHALATTA GÖZETİM UYGULANMASINA İLİŞKİN TEBLİĞ</w:t>
                  </w:r>
                </w:p>
                <w:p w:rsidR="007B672A" w:rsidRDefault="007B672A">
                  <w:pPr>
                    <w:pStyle w:val="ortabalkbold"/>
                    <w:spacing w:before="0" w:beforeAutospacing="0" w:after="0" w:afterAutospacing="0" w:line="240" w:lineRule="atLeast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(TEBLİĞ NO: 2007/9)’DE DEĞİŞİKLİK YAPILMASI</w:t>
                  </w:r>
                </w:p>
                <w:p w:rsidR="007B672A" w:rsidRDefault="007B672A">
                  <w:pPr>
                    <w:pStyle w:val="ortabalkbold"/>
                    <w:spacing w:before="0" w:beforeAutospacing="0" w:after="170" w:afterAutospacing="0" w:line="240" w:lineRule="atLeast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HAKKINDA TEBLİĞ</w:t>
                  </w:r>
                </w:p>
                <w:p w:rsidR="007B672A" w:rsidRDefault="007B672A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1 –</w:t>
                  </w:r>
                  <w:r>
                    <w:rPr>
                      <w:rStyle w:val="apple-converted-space"/>
                      <w:b/>
                      <w:bCs/>
                      <w:sz w:val="18"/>
                      <w:szCs w:val="18"/>
                    </w:rPr>
                    <w:t> </w:t>
                  </w:r>
                  <w:proofErr w:type="gramStart"/>
                  <w:r>
                    <w:rPr>
                      <w:sz w:val="18"/>
                      <w:szCs w:val="18"/>
                    </w:rPr>
                    <w:t>10/1/2007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tarihli ve 26399 sayılı Resmî </w:t>
                  </w:r>
                  <w:proofErr w:type="spellStart"/>
                  <w:r>
                    <w:rPr>
                      <w:sz w:val="18"/>
                      <w:szCs w:val="18"/>
                    </w:rPr>
                    <w:t>Gazete'de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yayımlanan İthalatta Gözetim Uygulanmasına İlişkin Tebliğ (Tebliğ No: 2007/9)’in 2 </w:t>
                  </w:r>
                  <w:proofErr w:type="spellStart"/>
                  <w:r>
                    <w:rPr>
                      <w:sz w:val="18"/>
                      <w:szCs w:val="18"/>
                    </w:rPr>
                    <w:t>nci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maddesi aşağıdaki şekilde değiştirilmiştir.</w:t>
                  </w:r>
                </w:p>
                <w:p w:rsidR="007B672A" w:rsidRDefault="007B672A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>“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MADDE 2 –</w:t>
                  </w:r>
                  <w:r>
                    <w:rPr>
                      <w:rStyle w:val="apple-converted-space"/>
                      <w:b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 xml:space="preserve">(1) Bu Tebliğ’in Ek </w:t>
                  </w:r>
                  <w:proofErr w:type="spellStart"/>
                  <w:r>
                    <w:rPr>
                      <w:sz w:val="18"/>
                      <w:szCs w:val="18"/>
                    </w:rPr>
                    <w:t>I’inde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belirtilen eşya ancak Ekonomi Bakanlığınca (İthalat Genel Müdürlüğü) düzenlenecek gözetim belgesi ile ithal edilir. Gözetim belgesi gümrük beyannamesinin tescilinde ilgili gümrük idaresince aranır. Gözetim belgesinin bir örneği gümrük beyannamesine eklenir.</w:t>
                  </w:r>
                </w:p>
                <w:p w:rsidR="007B672A" w:rsidRDefault="007B672A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>(2) Bir gümrük beyannamesi kapsamında ilgili gümrük tarife istatistik pozisyonundan brüt 150 kg veya daha az miktarda yapılacak olan ithalat, CIF kıymetine bakılmaksızın gözetim uygulamasından muaftır.”</w:t>
                  </w:r>
                </w:p>
                <w:p w:rsidR="007B672A" w:rsidRDefault="007B672A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2 –</w:t>
                  </w:r>
                  <w:r>
                    <w:rPr>
                      <w:rStyle w:val="apple-converted-space"/>
                      <w:b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Aynı Tebliğin 3 üncü maddesi aşağıdaki şekilde değiştirilmiştir.</w:t>
                  </w:r>
                </w:p>
                <w:p w:rsidR="007B672A" w:rsidRDefault="007B672A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>“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MADDE 3 –</w:t>
                  </w:r>
                  <w:r>
                    <w:rPr>
                      <w:rStyle w:val="apple-converted-space"/>
                      <w:b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(1) Gözetim belgesi taleplerine ilişkin başvuruların değerlendirmeye alınabilmesi için Ek-II, Ek-IV, Ek-V, Ek-VI ve Ek-</w:t>
                  </w:r>
                  <w:proofErr w:type="spellStart"/>
                  <w:r>
                    <w:rPr>
                      <w:sz w:val="18"/>
                      <w:szCs w:val="18"/>
                    </w:rPr>
                    <w:t>VII’deki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formlar eksiksiz bir şekilde doldurulur ve Ek-</w:t>
                  </w:r>
                  <w:proofErr w:type="spellStart"/>
                  <w:r>
                    <w:rPr>
                      <w:sz w:val="18"/>
                      <w:szCs w:val="18"/>
                    </w:rPr>
                    <w:t>III’teki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belgelerle birlikte eksiksiz bir şekilde İthalat Genel Müdürlüğüne iletilir.</w:t>
                  </w:r>
                </w:p>
                <w:p w:rsidR="007B672A" w:rsidRDefault="007B672A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>(2) Yapılan beyanın gerçeğe aykırı olduğunun veya başvurularda sunulan bilgi ve belgelerde tutarsızlık bulunduğunun tespit edilmesi halinde gözetim belgesi düzenlenmez.</w:t>
                  </w:r>
                </w:p>
                <w:p w:rsidR="007B672A" w:rsidRDefault="007B672A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>(3) Bu maddede belirtilen belgelerin iletilmesini müteakip İthalat Genel Müdürlüğü tarafından, iletilen bilgi ve belgelerde çelişki tespit edilmesi halinde ek bilgi ve belge istenebilir.”</w:t>
                  </w:r>
                </w:p>
                <w:p w:rsidR="007B672A" w:rsidRDefault="007B672A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3 –</w:t>
                  </w:r>
                  <w:r>
                    <w:rPr>
                      <w:rStyle w:val="apple-converted-space"/>
                      <w:b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 xml:space="preserve">Aynı Tebliğin 7 </w:t>
                  </w:r>
                  <w:proofErr w:type="spellStart"/>
                  <w:r>
                    <w:rPr>
                      <w:sz w:val="18"/>
                      <w:szCs w:val="18"/>
                    </w:rPr>
                    <w:t>nci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maddesi aşağıdaki şekilde değiştirilmiştir.</w:t>
                  </w:r>
                </w:p>
                <w:p w:rsidR="007B672A" w:rsidRDefault="007B672A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8"/>
                      <w:szCs w:val="18"/>
                    </w:rPr>
                    <w:t>“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MADDE 7 –</w:t>
                  </w:r>
                  <w:r>
                    <w:rPr>
                      <w:rStyle w:val="apple-converted-space"/>
                      <w:b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(1) Bu Tebliğ hükümlerini Ekonomi Bakanı yürütür.”</w:t>
                  </w:r>
                </w:p>
                <w:p w:rsidR="007B672A" w:rsidRDefault="007B672A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4 –</w:t>
                  </w:r>
                  <w:r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Aynı Tebliğin Ek-I, Ek-II ve Ek-</w:t>
                  </w:r>
                  <w:proofErr w:type="spellStart"/>
                  <w:r>
                    <w:rPr>
                      <w:sz w:val="18"/>
                      <w:szCs w:val="18"/>
                    </w:rPr>
                    <w:t>III’ü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ekte yer alan şekilde değiştirilmiştir.</w:t>
                  </w:r>
                </w:p>
                <w:p w:rsidR="007B672A" w:rsidRDefault="007B672A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5 –</w:t>
                  </w:r>
                  <w:r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Aynı Tebliğe ekteki Ek-IV, Ek-V, Ek-VI ve Ek-VII eklenmiştir.</w:t>
                  </w:r>
                </w:p>
                <w:p w:rsidR="007B672A" w:rsidRDefault="007B672A">
                  <w:pPr>
                    <w:pStyle w:val="metin"/>
                    <w:spacing w:before="0" w:beforeAutospacing="0" w:after="0" w:afterAutospacing="0" w:line="240" w:lineRule="atLeast"/>
                    <w:ind w:firstLine="566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6 –</w:t>
                  </w:r>
                  <w:r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Bu Tebliğ yayımı tarihinde yürürlüğe girer.</w:t>
                  </w:r>
                </w:p>
                <w:p w:rsidR="007B672A" w:rsidRDefault="007B672A">
                  <w:pPr>
                    <w:pStyle w:val="metin"/>
                    <w:spacing w:before="0" w:beforeAutospacing="0" w:after="200" w:afterAutospacing="0" w:line="240" w:lineRule="atLeast"/>
                    <w:ind w:firstLine="567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MADDE 7 –</w:t>
                  </w:r>
                  <w:r>
                    <w:rPr>
                      <w:rStyle w:val="apple-converted-space"/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Bu Tebliğ hükümlerini Ekonomi Bakanı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7B672A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B672A" w:rsidRDefault="007B672A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Tebliğ Yayımlandığı Resmî Gazete'nin</w:t>
                        </w:r>
                      </w:p>
                    </w:tc>
                  </w:tr>
                  <w:tr w:rsidR="007B672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B672A" w:rsidRDefault="007B672A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B672A" w:rsidRDefault="007B672A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7B672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B672A" w:rsidRDefault="007B672A">
                        <w:pPr>
                          <w:jc w:val="center"/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10/1/2007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B672A" w:rsidRDefault="007B672A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26399</w:t>
                        </w:r>
                      </w:p>
                    </w:tc>
                  </w:tr>
                  <w:tr w:rsidR="007B672A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B672A" w:rsidRDefault="007B672A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Tebliğde Değişiklik Yapan Tebliğin Yayımlandığı Resmî Gazete'nin</w:t>
                        </w:r>
                      </w:p>
                    </w:tc>
                  </w:tr>
                  <w:tr w:rsidR="007B672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B672A" w:rsidRDefault="007B672A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B672A" w:rsidRDefault="007B672A">
                        <w:pPr>
                          <w:pStyle w:val="3-normalyaz"/>
                          <w:spacing w:line="240" w:lineRule="atLeast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7B672A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B672A" w:rsidRDefault="007B672A">
                        <w:pPr>
                          <w:jc w:val="center"/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28/7/2011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B672A" w:rsidRDefault="007B672A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28008</w:t>
                        </w:r>
                      </w:p>
                    </w:tc>
                  </w:tr>
                </w:tbl>
                <w:p w:rsidR="007B672A" w:rsidRDefault="007B672A">
                  <w:pPr>
                    <w:pStyle w:val="NormalWeb"/>
                  </w:pPr>
                  <w:hyperlink r:id="rId4" w:history="1">
                    <w:r>
                      <w:rPr>
                        <w:rStyle w:val="Kpr"/>
                        <w:b/>
                        <w:bCs/>
                        <w:color w:val="800080"/>
                        <w:sz w:val="18"/>
                        <w:szCs w:val="18"/>
                      </w:rPr>
                      <w:t>Ekleri için tıklayınız</w:t>
                    </w:r>
                  </w:hyperlink>
                </w:p>
              </w:tc>
            </w:tr>
          </w:tbl>
          <w:p w:rsidR="007B672A" w:rsidRDefault="007B6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</w:tbl>
    <w:p w:rsidR="007B672A" w:rsidRDefault="007B672A" w:rsidP="007B672A">
      <w:pPr>
        <w:jc w:val="center"/>
        <w:rPr>
          <w:color w:val="000000"/>
          <w:sz w:val="27"/>
          <w:szCs w:val="27"/>
        </w:rPr>
      </w:pPr>
    </w:p>
    <w:p w:rsidR="007B672A" w:rsidRDefault="007B672A" w:rsidP="007B672A">
      <w:pPr>
        <w:jc w:val="center"/>
        <w:rPr>
          <w:color w:val="000000"/>
          <w:sz w:val="27"/>
          <w:szCs w:val="27"/>
        </w:rPr>
      </w:pPr>
    </w:p>
    <w:p w:rsidR="007D65D2" w:rsidRDefault="007D65D2"/>
    <w:sectPr w:rsidR="007D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2A"/>
    <w:rsid w:val="007B672A"/>
    <w:rsid w:val="007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8CBE-A7BF-4229-BD0A-77901C11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2A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B672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B67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uiPriority w:val="99"/>
    <w:semiHidden/>
    <w:rsid w:val="007B67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uiPriority w:val="99"/>
    <w:semiHidden/>
    <w:rsid w:val="007B67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uiPriority w:val="99"/>
    <w:semiHidden/>
    <w:rsid w:val="007B67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uiPriority w:val="99"/>
    <w:semiHidden/>
    <w:rsid w:val="007B67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B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6/05/20160515-8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2016-05-16T08:12:00Z</dcterms:created>
  <dcterms:modified xsi:type="dcterms:W3CDTF">2016-05-16T08:15:00Z</dcterms:modified>
</cp:coreProperties>
</file>