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22885" w:rsidTr="0092288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885" w:rsidRDefault="00922885">
            <w:pPr>
              <w:spacing w:line="240" w:lineRule="exact"/>
              <w:rPr>
                <w:rFonts w:ascii="Arial" w:hAnsi="Arial" w:cs="Arial"/>
                <w:sz w:val="16"/>
                <w:szCs w:val="16"/>
              </w:rPr>
            </w:pPr>
            <w:r>
              <w:rPr>
                <w:rFonts w:ascii="Arial" w:hAnsi="Arial" w:cs="Arial"/>
                <w:sz w:val="16"/>
                <w:szCs w:val="16"/>
              </w:rPr>
              <w:t>12 Mayıs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885" w:rsidRDefault="00922885">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22885" w:rsidRDefault="00922885">
            <w:pPr>
              <w:pStyle w:val="NormalWeb"/>
              <w:jc w:val="right"/>
              <w:rPr>
                <w:rFonts w:ascii="Arial" w:hAnsi="Arial" w:cs="Arial"/>
                <w:sz w:val="16"/>
                <w:szCs w:val="16"/>
              </w:rPr>
            </w:pPr>
            <w:proofErr w:type="gramStart"/>
            <w:r>
              <w:rPr>
                <w:rFonts w:ascii="Arial" w:hAnsi="Arial" w:cs="Arial"/>
                <w:sz w:val="16"/>
                <w:szCs w:val="16"/>
              </w:rPr>
              <w:t>Sayı : 29710</w:t>
            </w:r>
            <w:proofErr w:type="gramEnd"/>
          </w:p>
        </w:tc>
      </w:tr>
      <w:tr w:rsidR="00922885" w:rsidTr="00922885">
        <w:trPr>
          <w:trHeight w:val="480"/>
          <w:jc w:val="center"/>
        </w:trPr>
        <w:tc>
          <w:tcPr>
            <w:tcW w:w="8789" w:type="dxa"/>
            <w:gridSpan w:val="3"/>
            <w:tcMar>
              <w:top w:w="0" w:type="dxa"/>
              <w:left w:w="108" w:type="dxa"/>
              <w:bottom w:w="0" w:type="dxa"/>
              <w:right w:w="108" w:type="dxa"/>
            </w:tcMar>
            <w:vAlign w:val="center"/>
            <w:hideMark/>
          </w:tcPr>
          <w:p w:rsidR="00922885" w:rsidRDefault="00922885">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922885" w:rsidTr="00922885">
        <w:trPr>
          <w:trHeight w:val="480"/>
          <w:jc w:val="center"/>
        </w:trPr>
        <w:tc>
          <w:tcPr>
            <w:tcW w:w="8789" w:type="dxa"/>
            <w:gridSpan w:val="3"/>
            <w:tcMar>
              <w:top w:w="0" w:type="dxa"/>
              <w:left w:w="108" w:type="dxa"/>
              <w:bottom w:w="0" w:type="dxa"/>
              <w:right w:w="108" w:type="dxa"/>
            </w:tcMar>
            <w:vAlign w:val="center"/>
          </w:tcPr>
          <w:p w:rsidR="00922885" w:rsidRDefault="00922885">
            <w:pPr>
              <w:pStyle w:val="Balk11pt"/>
              <w:spacing w:line="240" w:lineRule="exact"/>
              <w:rPr>
                <w:sz w:val="18"/>
                <w:szCs w:val="18"/>
              </w:rPr>
            </w:pPr>
            <w:r>
              <w:rPr>
                <w:sz w:val="18"/>
                <w:szCs w:val="18"/>
              </w:rPr>
              <w:t>Ekonomi Bakanlığından:</w:t>
            </w:r>
          </w:p>
          <w:p w:rsidR="00922885" w:rsidRDefault="00922885">
            <w:pPr>
              <w:pStyle w:val="OrtaBalkBold"/>
              <w:spacing w:before="113" w:line="240" w:lineRule="exact"/>
              <w:rPr>
                <w:sz w:val="18"/>
                <w:szCs w:val="18"/>
              </w:rPr>
            </w:pPr>
            <w:r>
              <w:rPr>
                <w:sz w:val="18"/>
                <w:szCs w:val="18"/>
              </w:rPr>
              <w:t xml:space="preserve">İTHALATTA GÖZETİM UYGULANMASINA İLİŞKİN TEBLİĞ </w:t>
            </w:r>
          </w:p>
          <w:p w:rsidR="00922885" w:rsidRDefault="00922885">
            <w:pPr>
              <w:pStyle w:val="OrtaBalkBold"/>
              <w:spacing w:after="113" w:line="240" w:lineRule="exact"/>
              <w:rPr>
                <w:sz w:val="18"/>
                <w:szCs w:val="18"/>
              </w:rPr>
            </w:pPr>
            <w:r>
              <w:rPr>
                <w:sz w:val="18"/>
                <w:szCs w:val="18"/>
              </w:rPr>
              <w:t xml:space="preserve">(TEBLİĞ NO: 2016/2) </w:t>
            </w:r>
          </w:p>
          <w:p w:rsidR="00922885" w:rsidRDefault="00922885">
            <w:pPr>
              <w:pStyle w:val="Metin"/>
              <w:spacing w:line="240" w:lineRule="exact"/>
              <w:rPr>
                <w:b/>
                <w:bCs/>
                <w:sz w:val="18"/>
                <w:szCs w:val="18"/>
              </w:rPr>
            </w:pPr>
            <w:r>
              <w:rPr>
                <w:b/>
                <w:bCs/>
                <w:sz w:val="18"/>
                <w:szCs w:val="18"/>
              </w:rPr>
              <w:t>Kapsam</w:t>
            </w:r>
          </w:p>
          <w:p w:rsidR="00922885" w:rsidRDefault="00922885">
            <w:pPr>
              <w:pStyle w:val="Metin"/>
              <w:spacing w:line="240" w:lineRule="exact"/>
              <w:rPr>
                <w:sz w:val="18"/>
                <w:szCs w:val="18"/>
              </w:rPr>
            </w:pPr>
            <w:r>
              <w:rPr>
                <w:b/>
                <w:bCs/>
                <w:sz w:val="18"/>
                <w:szCs w:val="18"/>
              </w:rPr>
              <w:t xml:space="preserve">MADDE 1 –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ülke ayrımı yapılmaksızın yürütülecek olan gözetim uygulamasına ilişkin usul ve esasları içermektedir.</w:t>
            </w:r>
          </w:p>
          <w:p w:rsidR="00922885" w:rsidRDefault="00922885">
            <w:pPr>
              <w:pStyle w:val="Metin"/>
              <w:spacing w:line="240" w:lineRule="exact"/>
              <w:ind w:firstLine="0"/>
              <w:jc w:val="center"/>
              <w:rPr>
                <w:sz w:val="18"/>
                <w:szCs w:val="18"/>
              </w:rPr>
            </w:pPr>
          </w:p>
          <w:tbl>
            <w:tblPr>
              <w:tblW w:w="8505" w:type="dxa"/>
              <w:jc w:val="center"/>
              <w:tblCellMar>
                <w:left w:w="0" w:type="dxa"/>
                <w:right w:w="0" w:type="dxa"/>
              </w:tblCellMar>
              <w:tblLook w:val="04A0" w:firstRow="1" w:lastRow="0" w:firstColumn="1" w:lastColumn="0" w:noHBand="0" w:noVBand="1"/>
            </w:tblPr>
            <w:tblGrid>
              <w:gridCol w:w="2528"/>
              <w:gridCol w:w="3847"/>
              <w:gridCol w:w="2130"/>
            </w:tblGrid>
            <w:tr w:rsidR="00922885">
              <w:trPr>
                <w:trHeight w:val="20"/>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b/>
                      <w:bCs/>
                      <w:color w:val="000000"/>
                      <w:sz w:val="18"/>
                      <w:szCs w:val="18"/>
                    </w:rPr>
                  </w:pPr>
                  <w:r>
                    <w:rPr>
                      <w:b/>
                      <w:bCs/>
                      <w:color w:val="000000"/>
                      <w:sz w:val="18"/>
                      <w:szCs w:val="18"/>
                    </w:rPr>
                    <w:t>GTİP</w:t>
                  </w:r>
                </w:p>
              </w:tc>
              <w:tc>
                <w:tcPr>
                  <w:tcW w:w="3674" w:type="dxa"/>
                  <w:vMerge w:val="restart"/>
                  <w:tcBorders>
                    <w:top w:val="single" w:sz="8" w:space="0" w:color="auto"/>
                    <w:left w:val="nil"/>
                    <w:bottom w:val="single" w:sz="8" w:space="0" w:color="auto"/>
                    <w:right w:val="nil"/>
                  </w:tcBorders>
                  <w:tcMar>
                    <w:top w:w="0" w:type="dxa"/>
                    <w:left w:w="70" w:type="dxa"/>
                    <w:bottom w:w="0" w:type="dxa"/>
                    <w:right w:w="70" w:type="dxa"/>
                  </w:tcMar>
                  <w:vAlign w:val="center"/>
                  <w:hideMark/>
                </w:tcPr>
                <w:p w:rsidR="00922885" w:rsidRDefault="00922885">
                  <w:pPr>
                    <w:spacing w:line="240" w:lineRule="exact"/>
                    <w:jc w:val="center"/>
                    <w:rPr>
                      <w:b/>
                      <w:bCs/>
                      <w:color w:val="000000"/>
                      <w:sz w:val="18"/>
                      <w:szCs w:val="18"/>
                    </w:rPr>
                  </w:pPr>
                  <w:r>
                    <w:rPr>
                      <w:b/>
                      <w:bCs/>
                      <w:color w:val="000000"/>
                      <w:sz w:val="18"/>
                      <w:szCs w:val="18"/>
                    </w:rPr>
                    <w:t>Eşyanın Tanımı</w:t>
                  </w:r>
                </w:p>
              </w:tc>
              <w:tc>
                <w:tcPr>
                  <w:tcW w:w="20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b/>
                      <w:bCs/>
                      <w:color w:val="000000"/>
                      <w:sz w:val="18"/>
                      <w:szCs w:val="18"/>
                    </w:rPr>
                  </w:pPr>
                  <w:r>
                    <w:rPr>
                      <w:b/>
                      <w:bCs/>
                      <w:color w:val="000000"/>
                      <w:sz w:val="18"/>
                      <w:szCs w:val="18"/>
                    </w:rPr>
                    <w:t>Birim Gümrük Kıymeti</w:t>
                  </w:r>
                </w:p>
              </w:tc>
            </w:tr>
            <w:tr w:rsidR="00922885">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2885" w:rsidRDefault="00922885">
                  <w:pPr>
                    <w:rPr>
                      <w:b/>
                      <w:bCs/>
                      <w:color w:val="000000"/>
                      <w:sz w:val="18"/>
                      <w:szCs w:val="18"/>
                    </w:rPr>
                  </w:pPr>
                </w:p>
              </w:tc>
              <w:tc>
                <w:tcPr>
                  <w:tcW w:w="0" w:type="auto"/>
                  <w:vMerge/>
                  <w:tcBorders>
                    <w:top w:val="single" w:sz="8" w:space="0" w:color="auto"/>
                    <w:left w:val="nil"/>
                    <w:bottom w:val="single" w:sz="8" w:space="0" w:color="auto"/>
                    <w:right w:val="nil"/>
                  </w:tcBorders>
                  <w:vAlign w:val="center"/>
                  <w:hideMark/>
                </w:tcPr>
                <w:p w:rsidR="00922885" w:rsidRDefault="00922885">
                  <w:pPr>
                    <w:rPr>
                      <w:b/>
                      <w:bCs/>
                      <w:color w:val="000000"/>
                      <w:sz w:val="18"/>
                      <w:szCs w:val="18"/>
                    </w:rPr>
                  </w:pPr>
                </w:p>
              </w:tc>
              <w:tc>
                <w:tcPr>
                  <w:tcW w:w="20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b/>
                      <w:bCs/>
                      <w:color w:val="000000"/>
                      <w:sz w:val="18"/>
                      <w:szCs w:val="18"/>
                    </w:rPr>
                  </w:pPr>
                  <w:r>
                    <w:rPr>
                      <w:b/>
                      <w:bCs/>
                      <w:color w:val="000000"/>
                      <w:sz w:val="18"/>
                      <w:szCs w:val="18"/>
                    </w:rPr>
                    <w:t>(ABD Doları/Kg*)</w:t>
                  </w:r>
                </w:p>
              </w:tc>
            </w:tr>
            <w:tr w:rsidR="00922885">
              <w:trPr>
                <w:trHeight w:val="20"/>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color w:val="000000"/>
                      <w:sz w:val="18"/>
                      <w:szCs w:val="18"/>
                    </w:rPr>
                  </w:pPr>
                  <w:r>
                    <w:rPr>
                      <w:color w:val="000000"/>
                      <w:sz w:val="18"/>
                      <w:szCs w:val="18"/>
                    </w:rPr>
                    <w:t>  4011.10.00.90.12 </w:t>
                  </w:r>
                </w:p>
              </w:tc>
              <w:tc>
                <w:tcPr>
                  <w:tcW w:w="3674" w:type="dxa"/>
                  <w:tcBorders>
                    <w:top w:val="nil"/>
                    <w:left w:val="nil"/>
                    <w:bottom w:val="single" w:sz="8" w:space="0" w:color="auto"/>
                    <w:right w:val="nil"/>
                  </w:tcBorders>
                  <w:tcMar>
                    <w:top w:w="0" w:type="dxa"/>
                    <w:left w:w="70" w:type="dxa"/>
                    <w:bottom w:w="0" w:type="dxa"/>
                    <w:right w:w="70" w:type="dxa"/>
                  </w:tcMar>
                  <w:vAlign w:val="center"/>
                  <w:hideMark/>
                </w:tcPr>
                <w:p w:rsidR="00922885" w:rsidRDefault="00922885">
                  <w:pPr>
                    <w:spacing w:line="240" w:lineRule="exact"/>
                    <w:jc w:val="center"/>
                    <w:rPr>
                      <w:color w:val="000000"/>
                      <w:sz w:val="18"/>
                      <w:szCs w:val="18"/>
                    </w:rPr>
                  </w:pPr>
                  <w:r>
                    <w:rPr>
                      <w:color w:val="000000"/>
                      <w:sz w:val="18"/>
                      <w:szCs w:val="18"/>
                    </w:rPr>
                    <w:t xml:space="preserve">Çelik Kuşaklı </w:t>
                  </w:r>
                  <w:proofErr w:type="spellStart"/>
                  <w:r>
                    <w:rPr>
                      <w:color w:val="000000"/>
                      <w:sz w:val="18"/>
                      <w:szCs w:val="18"/>
                    </w:rPr>
                    <w:t>Radyal</w:t>
                  </w:r>
                  <w:proofErr w:type="spellEnd"/>
                  <w:r>
                    <w:rPr>
                      <w:color w:val="000000"/>
                      <w:sz w:val="18"/>
                      <w:szCs w:val="18"/>
                    </w:rPr>
                    <w:t xml:space="preserve"> Dış Lastikler </w:t>
                  </w:r>
                </w:p>
              </w:tc>
              <w:tc>
                <w:tcPr>
                  <w:tcW w:w="20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color w:val="000000"/>
                      <w:sz w:val="18"/>
                      <w:szCs w:val="18"/>
                    </w:rPr>
                  </w:pPr>
                  <w:r>
                    <w:rPr>
                      <w:color w:val="000000"/>
                      <w:sz w:val="18"/>
                      <w:szCs w:val="18"/>
                    </w:rPr>
                    <w:t>5</w:t>
                  </w:r>
                </w:p>
              </w:tc>
            </w:tr>
            <w:tr w:rsidR="00922885">
              <w:trPr>
                <w:trHeight w:val="20"/>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22885" w:rsidRDefault="00922885">
                  <w:pPr>
                    <w:spacing w:line="240" w:lineRule="exact"/>
                    <w:jc w:val="center"/>
                    <w:rPr>
                      <w:color w:val="000000"/>
                      <w:sz w:val="18"/>
                      <w:szCs w:val="18"/>
                    </w:rPr>
                  </w:pPr>
                  <w:r>
                    <w:rPr>
                      <w:color w:val="000000"/>
                      <w:sz w:val="18"/>
                      <w:szCs w:val="18"/>
                    </w:rPr>
                    <w:t xml:space="preserve">4011.20.10.00.19 </w:t>
                  </w:r>
                </w:p>
              </w:tc>
              <w:tc>
                <w:tcPr>
                  <w:tcW w:w="3674" w:type="dxa"/>
                  <w:tcBorders>
                    <w:top w:val="nil"/>
                    <w:left w:val="nil"/>
                    <w:bottom w:val="single" w:sz="8" w:space="0" w:color="auto"/>
                    <w:right w:val="nil"/>
                  </w:tcBorders>
                  <w:tcMar>
                    <w:top w:w="0" w:type="dxa"/>
                    <w:left w:w="70" w:type="dxa"/>
                    <w:bottom w:w="0" w:type="dxa"/>
                    <w:right w:w="70" w:type="dxa"/>
                  </w:tcMar>
                  <w:vAlign w:val="center"/>
                  <w:hideMark/>
                </w:tcPr>
                <w:p w:rsidR="00922885" w:rsidRDefault="00922885">
                  <w:pPr>
                    <w:spacing w:line="240" w:lineRule="exact"/>
                    <w:jc w:val="center"/>
                    <w:rPr>
                      <w:color w:val="000000"/>
                      <w:sz w:val="18"/>
                      <w:szCs w:val="18"/>
                    </w:rPr>
                  </w:pPr>
                  <w:r>
                    <w:rPr>
                      <w:color w:val="000000"/>
                      <w:sz w:val="18"/>
                      <w:szCs w:val="18"/>
                    </w:rPr>
                    <w:t>Diğerleri</w:t>
                  </w:r>
                </w:p>
              </w:tc>
              <w:tc>
                <w:tcPr>
                  <w:tcW w:w="0" w:type="auto"/>
                  <w:vMerge/>
                  <w:tcBorders>
                    <w:top w:val="nil"/>
                    <w:left w:val="single" w:sz="8" w:space="0" w:color="auto"/>
                    <w:bottom w:val="single" w:sz="8" w:space="0" w:color="auto"/>
                    <w:right w:val="single" w:sz="8" w:space="0" w:color="auto"/>
                  </w:tcBorders>
                  <w:vAlign w:val="center"/>
                  <w:hideMark/>
                </w:tcPr>
                <w:p w:rsidR="00922885" w:rsidRDefault="00922885">
                  <w:pPr>
                    <w:rPr>
                      <w:color w:val="000000"/>
                      <w:sz w:val="18"/>
                      <w:szCs w:val="18"/>
                    </w:rPr>
                  </w:pPr>
                </w:p>
              </w:tc>
            </w:tr>
          </w:tbl>
          <w:p w:rsidR="00922885" w:rsidRDefault="00922885">
            <w:pPr>
              <w:pStyle w:val="Metin"/>
              <w:spacing w:line="240" w:lineRule="exact"/>
              <w:ind w:firstLine="0"/>
              <w:jc w:val="center"/>
              <w:rPr>
                <w:sz w:val="18"/>
                <w:szCs w:val="18"/>
              </w:rPr>
            </w:pPr>
          </w:p>
          <w:p w:rsidR="00922885" w:rsidRDefault="00922885">
            <w:pPr>
              <w:pStyle w:val="Metin"/>
              <w:spacing w:line="240" w:lineRule="exact"/>
              <w:rPr>
                <w:b/>
                <w:bCs/>
                <w:sz w:val="18"/>
                <w:szCs w:val="18"/>
              </w:rPr>
            </w:pPr>
            <w:r>
              <w:rPr>
                <w:b/>
                <w:bCs/>
                <w:sz w:val="18"/>
                <w:szCs w:val="18"/>
              </w:rPr>
              <w:t>Gözetim uygulaması</w:t>
            </w:r>
          </w:p>
          <w:p w:rsidR="00922885" w:rsidRDefault="00922885">
            <w:pPr>
              <w:pStyle w:val="Metin"/>
              <w:spacing w:line="240" w:lineRule="exact"/>
              <w:rPr>
                <w:sz w:val="18"/>
                <w:szCs w:val="18"/>
              </w:rPr>
            </w:pPr>
            <w:r>
              <w:rPr>
                <w:b/>
                <w:bCs/>
                <w:sz w:val="18"/>
                <w:szCs w:val="18"/>
              </w:rPr>
              <w:t xml:space="preserve">MADDE 2 – </w:t>
            </w:r>
            <w:r>
              <w:rPr>
                <w:sz w:val="18"/>
                <w:szCs w:val="18"/>
              </w:rPr>
              <w:t xml:space="preserve">(1) 1 inci maddede belirtilen eşya ancak Ekonomi Bakanlığınca (İthalat Genel Müdürlüğü) düzenlenecek gözetim belgesi ile ithal edilir. Gözetim belgesi gümrük beyannamesinin tescilinde ilgili gümrük idaresince aranır. Gözetim belgesinin bir örneği gümrük beyannamesine eklenir. </w:t>
            </w:r>
          </w:p>
          <w:p w:rsidR="00922885" w:rsidRDefault="00922885">
            <w:pPr>
              <w:pStyle w:val="Metin"/>
              <w:spacing w:line="240" w:lineRule="exact"/>
              <w:rPr>
                <w:b/>
                <w:bCs/>
                <w:sz w:val="18"/>
                <w:szCs w:val="18"/>
              </w:rPr>
            </w:pPr>
            <w:r>
              <w:rPr>
                <w:b/>
                <w:bCs/>
                <w:sz w:val="18"/>
                <w:szCs w:val="18"/>
              </w:rPr>
              <w:t>Başvuru</w:t>
            </w:r>
          </w:p>
          <w:p w:rsidR="00922885" w:rsidRDefault="00922885">
            <w:pPr>
              <w:pStyle w:val="Metin"/>
              <w:spacing w:line="240" w:lineRule="exact"/>
              <w:rPr>
                <w:sz w:val="18"/>
                <w:szCs w:val="18"/>
              </w:rPr>
            </w:pPr>
            <w:r>
              <w:rPr>
                <w:b/>
                <w:bCs/>
                <w:sz w:val="18"/>
                <w:szCs w:val="18"/>
              </w:rPr>
              <w:t xml:space="preserve">MADDE 3 – </w:t>
            </w:r>
            <w:r>
              <w:rPr>
                <w:sz w:val="18"/>
                <w:szCs w:val="18"/>
              </w:rPr>
              <w:t xml:space="preserve">(1) Gözetim belgesi taleplerine ilişkin başvuruların değerlendirmeye alınabilmesi için Ek-1, Ek-3, Ek-4, Ek-5 ve Ek-6’daki formların eksiksiz bir şekilde doldurulması ve Ek-2’deki belgelerle birlikte eksiksiz bir şekilde İthalat Genel Müdürlüğüne iletilmesi gerekir. </w:t>
            </w:r>
          </w:p>
          <w:p w:rsidR="00922885" w:rsidRDefault="00922885">
            <w:pPr>
              <w:pStyle w:val="Metin"/>
              <w:spacing w:line="240" w:lineRule="exact"/>
              <w:rPr>
                <w:b/>
                <w:bCs/>
                <w:sz w:val="18"/>
                <w:szCs w:val="18"/>
              </w:rPr>
            </w:pPr>
            <w:r>
              <w:rPr>
                <w:b/>
                <w:bCs/>
                <w:sz w:val="18"/>
                <w:szCs w:val="18"/>
              </w:rPr>
              <w:t>İnceleme</w:t>
            </w:r>
          </w:p>
          <w:p w:rsidR="00922885" w:rsidRDefault="00922885">
            <w:pPr>
              <w:pStyle w:val="Metin"/>
              <w:spacing w:line="240" w:lineRule="exact"/>
              <w:rPr>
                <w:sz w:val="18"/>
                <w:szCs w:val="18"/>
              </w:rPr>
            </w:pPr>
            <w:r>
              <w:rPr>
                <w:b/>
                <w:bCs/>
                <w:sz w:val="18"/>
                <w:szCs w:val="18"/>
              </w:rPr>
              <w:t xml:space="preserve">MADDE 4 – </w:t>
            </w:r>
            <w:r>
              <w:rPr>
                <w:sz w:val="18"/>
                <w:szCs w:val="18"/>
              </w:rPr>
              <w:t>(1) 3 üncü maddede belirtilen belgelerin İthalat Genel Müdürlüğüne iletilmesini müteakip İthalat Genel Müdürlüğü tarafından gerekli görülmesi halinde veya iletilen bilgi ve belgelerde çelişki tespit edilmesi halinde ek bilgi ve belge istenebilir.</w:t>
            </w:r>
          </w:p>
          <w:p w:rsidR="00922885" w:rsidRDefault="00922885">
            <w:pPr>
              <w:pStyle w:val="Metin"/>
              <w:spacing w:line="240" w:lineRule="exact"/>
              <w:rPr>
                <w:b/>
                <w:bCs/>
                <w:sz w:val="18"/>
                <w:szCs w:val="18"/>
              </w:rPr>
            </w:pPr>
            <w:r>
              <w:rPr>
                <w:b/>
                <w:bCs/>
                <w:sz w:val="18"/>
                <w:szCs w:val="18"/>
              </w:rPr>
              <w:t>Yaptırım</w:t>
            </w:r>
          </w:p>
          <w:p w:rsidR="00922885" w:rsidRDefault="00922885">
            <w:pPr>
              <w:pStyle w:val="Metin"/>
              <w:spacing w:line="240" w:lineRule="exact"/>
              <w:rPr>
                <w:sz w:val="18"/>
                <w:szCs w:val="18"/>
              </w:rPr>
            </w:pPr>
            <w:r>
              <w:rPr>
                <w:b/>
                <w:bCs/>
                <w:sz w:val="18"/>
                <w:szCs w:val="18"/>
              </w:rPr>
              <w:t xml:space="preserve">MADDE 5 – </w:t>
            </w:r>
            <w:r>
              <w:rPr>
                <w:sz w:val="18"/>
                <w:szCs w:val="18"/>
              </w:rPr>
              <w:t>(1) Başvuru ya da inceleme aşamasında istenen belgelerde başvuru sahibinin beyanının gerçeğe aykırı olduğunun veya sunduğu bilgi ve belgelerde tutarsızlık veya eksiklik bulunduğunun tespit edilmesi halinde gözetim belgesi düzenlenmez.</w:t>
            </w:r>
          </w:p>
          <w:p w:rsidR="00922885" w:rsidRDefault="00922885">
            <w:pPr>
              <w:pStyle w:val="Metin"/>
              <w:spacing w:line="240" w:lineRule="exact"/>
              <w:rPr>
                <w:b/>
                <w:bCs/>
                <w:sz w:val="18"/>
                <w:szCs w:val="18"/>
              </w:rPr>
            </w:pPr>
            <w:r>
              <w:rPr>
                <w:b/>
                <w:bCs/>
                <w:sz w:val="18"/>
                <w:szCs w:val="18"/>
              </w:rPr>
              <w:t>Gözetim belgesine ve gözetim belgesinin kullanımına ait bilgiler</w:t>
            </w:r>
          </w:p>
          <w:p w:rsidR="00922885" w:rsidRDefault="00922885">
            <w:pPr>
              <w:pStyle w:val="Metin"/>
              <w:spacing w:line="240" w:lineRule="exact"/>
              <w:rPr>
                <w:sz w:val="18"/>
                <w:szCs w:val="18"/>
              </w:rPr>
            </w:pPr>
            <w:r>
              <w:rPr>
                <w:b/>
                <w:bCs/>
                <w:sz w:val="18"/>
                <w:szCs w:val="18"/>
              </w:rPr>
              <w:t xml:space="preserve">MADDE 6  –  </w:t>
            </w:r>
            <w:r>
              <w:rPr>
                <w:sz w:val="18"/>
                <w:szCs w:val="18"/>
              </w:rPr>
              <w:t>(1) Gözetim belgelerinin geçerlilik süresi altı aydır.</w:t>
            </w:r>
          </w:p>
          <w:p w:rsidR="00922885" w:rsidRDefault="00922885">
            <w:pPr>
              <w:pStyle w:val="Metin"/>
              <w:spacing w:line="240" w:lineRule="exact"/>
              <w:rPr>
                <w:sz w:val="18"/>
                <w:szCs w:val="18"/>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Gümrük Kanunu'nun eşyanın gümrük kıymetine ilişkin hükümlerinin uygulanmasına esas teşkil etmez.</w:t>
            </w:r>
          </w:p>
          <w:p w:rsidR="00922885" w:rsidRDefault="00922885">
            <w:pPr>
              <w:pStyle w:val="Metin"/>
              <w:spacing w:line="240" w:lineRule="exact"/>
              <w:rPr>
                <w:sz w:val="18"/>
                <w:szCs w:val="18"/>
              </w:rPr>
            </w:pPr>
            <w:r>
              <w:rPr>
                <w:sz w:val="18"/>
                <w:szCs w:val="18"/>
              </w:rPr>
              <w:t xml:space="preserve">(3) Gümrük beyannamesinin tescili sırasında gümrüklerce tespit ve kabul edilen kıymet veya miktarın, gözetim belgesinde kayıtlı kıymet veya miktarı, toplam %5'ten (%5 </w:t>
            </w:r>
            <w:proofErr w:type="gramStart"/>
            <w:r>
              <w:rPr>
                <w:sz w:val="18"/>
                <w:szCs w:val="18"/>
              </w:rPr>
              <w:t>dahil</w:t>
            </w:r>
            <w:proofErr w:type="gramEnd"/>
            <w:r>
              <w:rPr>
                <w:sz w:val="18"/>
                <w:szCs w:val="18"/>
              </w:rPr>
              <w:t>) daha az bir oranda aşması ithalatın yapılmasını engellemez.</w:t>
            </w:r>
          </w:p>
          <w:p w:rsidR="00922885" w:rsidRDefault="00922885">
            <w:pPr>
              <w:pStyle w:val="Metin"/>
              <w:spacing w:line="240" w:lineRule="exact"/>
              <w:rPr>
                <w:sz w:val="18"/>
                <w:szCs w:val="18"/>
              </w:rPr>
            </w:pPr>
            <w:r>
              <w:rPr>
                <w:sz w:val="18"/>
                <w:szCs w:val="18"/>
              </w:rPr>
              <w:t xml:space="preserve">(4) Gözetim belgesi üçüncü kişilere devredilemez. Gözetim belgesinin geçerlilik süresinin bitiminden itibaren on işgünü içerisinde gözetim belgesinin aslı, ayrıca ithalat gerçekleştirilmiş ise ticari fatura ve gümrük beyannamesinin fotokopisi belge sahibi tarafından İthalat Genel Müdürlüğüne iletilir. </w:t>
            </w:r>
            <w:proofErr w:type="gramStart"/>
            <w:r>
              <w:rPr>
                <w:sz w:val="18"/>
                <w:szCs w:val="18"/>
              </w:rPr>
              <w:t xml:space="preserve">Her halükarda; başvuru sahibinin, bu Tebliğ konusu eşya için gözetim belgesi düzenlenmesine ilişkin yeni bir başvuruda bulunduğunda tamamı kullanılmış veya geçerlilik süresi başvuru tarihi itibariyle sona ermiş olan gözetim belgesinin/belgelerinin aslını, gözetim belgesinin zayii durumunda ise zayie ilişkin gazete ilanı veya bu hususu belgelendiren ilgili belgeleri İthalat Genel Müdürlüğüne iletmesi zorunludur. </w:t>
            </w:r>
            <w:proofErr w:type="gramEnd"/>
            <w:r>
              <w:rPr>
                <w:sz w:val="18"/>
                <w:szCs w:val="18"/>
              </w:rPr>
              <w:t>Bu şartın yerine getirilmemesi durumunda gözetim belgesi düzenlenmez.</w:t>
            </w:r>
          </w:p>
          <w:p w:rsidR="00922885" w:rsidRDefault="00922885">
            <w:pPr>
              <w:pStyle w:val="Metin"/>
              <w:spacing w:line="240" w:lineRule="exact"/>
              <w:rPr>
                <w:b/>
                <w:bCs/>
                <w:sz w:val="18"/>
                <w:szCs w:val="18"/>
              </w:rPr>
            </w:pPr>
            <w:r>
              <w:rPr>
                <w:b/>
                <w:bCs/>
                <w:sz w:val="18"/>
                <w:szCs w:val="18"/>
              </w:rPr>
              <w:t>Yürürlük</w:t>
            </w:r>
          </w:p>
          <w:p w:rsidR="00922885" w:rsidRDefault="00922885">
            <w:pPr>
              <w:pStyle w:val="Metin"/>
              <w:spacing w:line="240" w:lineRule="exact"/>
              <w:rPr>
                <w:sz w:val="18"/>
                <w:szCs w:val="18"/>
              </w:rPr>
            </w:pPr>
            <w:r>
              <w:rPr>
                <w:b/>
                <w:bCs/>
                <w:sz w:val="18"/>
                <w:szCs w:val="18"/>
              </w:rPr>
              <w:t xml:space="preserve">MADDE 7 – </w:t>
            </w:r>
            <w:r>
              <w:rPr>
                <w:sz w:val="18"/>
                <w:szCs w:val="18"/>
              </w:rPr>
              <w:t>(1) Bu Tebliğ yayımı tarihini takip eden 30 uncu gün yürürlüğe girer.</w:t>
            </w:r>
          </w:p>
          <w:p w:rsidR="00922885" w:rsidRDefault="00922885">
            <w:pPr>
              <w:pStyle w:val="Metin"/>
              <w:spacing w:line="240" w:lineRule="exact"/>
              <w:rPr>
                <w:b/>
                <w:bCs/>
                <w:sz w:val="18"/>
                <w:szCs w:val="18"/>
              </w:rPr>
            </w:pPr>
            <w:r>
              <w:rPr>
                <w:b/>
                <w:bCs/>
                <w:sz w:val="18"/>
                <w:szCs w:val="18"/>
              </w:rPr>
              <w:t>Yürütme</w:t>
            </w:r>
          </w:p>
          <w:p w:rsidR="00922885" w:rsidRDefault="00922885">
            <w:pPr>
              <w:pStyle w:val="Metin"/>
              <w:spacing w:line="240" w:lineRule="exact"/>
              <w:rPr>
                <w:sz w:val="18"/>
                <w:szCs w:val="18"/>
              </w:rPr>
            </w:pPr>
            <w:r>
              <w:rPr>
                <w:b/>
                <w:bCs/>
                <w:sz w:val="18"/>
                <w:szCs w:val="18"/>
              </w:rPr>
              <w:t xml:space="preserve">MADDE 8 – </w:t>
            </w:r>
            <w:r>
              <w:rPr>
                <w:sz w:val="18"/>
                <w:szCs w:val="18"/>
              </w:rPr>
              <w:t xml:space="preserve">(1) Bu Tebliğ hükümlerini Ekonomi Bakanı yürütür. </w:t>
            </w:r>
          </w:p>
          <w:p w:rsidR="00922885" w:rsidRDefault="00922885">
            <w:pPr>
              <w:pStyle w:val="Metin"/>
              <w:spacing w:line="240" w:lineRule="exact"/>
              <w:rPr>
                <w:sz w:val="18"/>
                <w:szCs w:val="18"/>
              </w:rPr>
            </w:pPr>
          </w:p>
          <w:p w:rsidR="00922885" w:rsidRDefault="00922885">
            <w:pPr>
              <w:pStyle w:val="Metin"/>
              <w:spacing w:line="240" w:lineRule="exact"/>
              <w:ind w:firstLine="0"/>
              <w:rPr>
                <w:b/>
                <w:bCs/>
                <w:sz w:val="18"/>
                <w:szCs w:val="18"/>
              </w:rPr>
            </w:pPr>
            <w:hyperlink r:id="rId4" w:history="1">
              <w:r>
                <w:rPr>
                  <w:rStyle w:val="Kpr"/>
                  <w:b/>
                  <w:bCs/>
                  <w:sz w:val="18"/>
                  <w:szCs w:val="18"/>
                  <w:u w:val="none"/>
                </w:rPr>
                <w:t>Ekleri için tıklayınız</w:t>
              </w:r>
            </w:hyperlink>
          </w:p>
          <w:p w:rsidR="00922885" w:rsidRDefault="00922885">
            <w:pPr>
              <w:pStyle w:val="NormalWeb"/>
              <w:jc w:val="center"/>
              <w:rPr>
                <w:rFonts w:ascii="Arial" w:hAnsi="Arial" w:cs="Arial"/>
                <w:b/>
                <w:bCs/>
                <w:color w:val="000080"/>
                <w:sz w:val="18"/>
                <w:szCs w:val="18"/>
              </w:rPr>
            </w:pPr>
          </w:p>
        </w:tc>
      </w:tr>
    </w:tbl>
    <w:p w:rsidR="00D179BB" w:rsidRDefault="00D179BB">
      <w:bookmarkStart w:id="0" w:name="_GoBack"/>
      <w:bookmarkEnd w:id="0"/>
    </w:p>
    <w:sectPr w:rsidR="00D17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85"/>
    <w:rsid w:val="00922885"/>
    <w:rsid w:val="00D17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A06B-5CB4-4437-9512-0395A0DB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8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22885"/>
    <w:rPr>
      <w:color w:val="0563C1"/>
      <w:u w:val="single"/>
    </w:rPr>
  </w:style>
  <w:style w:type="paragraph" w:styleId="NormalWeb">
    <w:name w:val="Normal (Web)"/>
    <w:basedOn w:val="Normal"/>
    <w:uiPriority w:val="99"/>
    <w:semiHidden/>
    <w:unhideWhenUsed/>
    <w:rsid w:val="00922885"/>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922885"/>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922885"/>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922885"/>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5/20160512-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2016-05-12T07:01:00Z</dcterms:created>
  <dcterms:modified xsi:type="dcterms:W3CDTF">2016-05-12T07:10:00Z</dcterms:modified>
</cp:coreProperties>
</file>