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526A5" w:rsidTr="006526A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26A5" w:rsidRDefault="006526A5">
            <w:pPr>
              <w:spacing w:line="240" w:lineRule="atLeast"/>
            </w:pPr>
            <w:r>
              <w:rPr>
                <w:rFonts w:ascii="Arial" w:hAnsi="Arial" w:cs="Arial"/>
                <w:sz w:val="16"/>
                <w:szCs w:val="16"/>
              </w:rPr>
              <w:t>11 Nisan 2017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526A5" w:rsidRDefault="006526A5">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526A5" w:rsidRDefault="006526A5">
            <w:pPr>
              <w:pStyle w:val="NormalWeb"/>
              <w:jc w:val="right"/>
            </w:pPr>
            <w:proofErr w:type="gramStart"/>
            <w:r>
              <w:rPr>
                <w:rStyle w:val="grame"/>
                <w:rFonts w:ascii="Arial" w:hAnsi="Arial" w:cs="Arial"/>
                <w:sz w:val="16"/>
                <w:szCs w:val="16"/>
              </w:rPr>
              <w:t>Sayı : 30035</w:t>
            </w:r>
            <w:proofErr w:type="gramEnd"/>
          </w:p>
        </w:tc>
      </w:tr>
      <w:tr w:rsidR="006526A5" w:rsidTr="006526A5">
        <w:trPr>
          <w:trHeight w:val="480"/>
          <w:jc w:val="center"/>
        </w:trPr>
        <w:tc>
          <w:tcPr>
            <w:tcW w:w="8789" w:type="dxa"/>
            <w:gridSpan w:val="3"/>
            <w:tcMar>
              <w:top w:w="0" w:type="dxa"/>
              <w:left w:w="108" w:type="dxa"/>
              <w:bottom w:w="0" w:type="dxa"/>
              <w:right w:w="108" w:type="dxa"/>
            </w:tcMar>
            <w:vAlign w:val="center"/>
            <w:hideMark/>
          </w:tcPr>
          <w:p w:rsidR="006526A5" w:rsidRDefault="006526A5">
            <w:pPr>
              <w:pStyle w:val="NormalWeb"/>
              <w:jc w:val="center"/>
            </w:pPr>
            <w:r>
              <w:rPr>
                <w:rFonts w:ascii="Arial" w:hAnsi="Arial" w:cs="Arial"/>
                <w:b/>
                <w:bCs/>
                <w:color w:val="000080"/>
                <w:sz w:val="18"/>
                <w:szCs w:val="18"/>
              </w:rPr>
              <w:t>TEBLİĞ</w:t>
            </w:r>
          </w:p>
        </w:tc>
      </w:tr>
      <w:tr w:rsidR="006526A5" w:rsidTr="006526A5">
        <w:trPr>
          <w:trHeight w:val="480"/>
          <w:jc w:val="center"/>
        </w:trPr>
        <w:tc>
          <w:tcPr>
            <w:tcW w:w="8789" w:type="dxa"/>
            <w:gridSpan w:val="3"/>
            <w:tcMar>
              <w:top w:w="0" w:type="dxa"/>
              <w:left w:w="108" w:type="dxa"/>
              <w:bottom w:w="0" w:type="dxa"/>
              <w:right w:w="108" w:type="dxa"/>
            </w:tcMar>
            <w:vAlign w:val="center"/>
            <w:hideMark/>
          </w:tcPr>
          <w:p w:rsidR="006526A5" w:rsidRDefault="006526A5">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6526A5" w:rsidRDefault="006526A5">
            <w:pPr>
              <w:pStyle w:val="ortabalkbold"/>
              <w:spacing w:before="56" w:beforeAutospacing="0" w:after="0" w:afterAutospacing="0" w:line="240" w:lineRule="atLeast"/>
              <w:jc w:val="center"/>
              <w:rPr>
                <w:b/>
                <w:bCs/>
                <w:sz w:val="19"/>
                <w:szCs w:val="19"/>
              </w:rPr>
            </w:pPr>
            <w:r>
              <w:rPr>
                <w:b/>
                <w:bCs/>
                <w:sz w:val="18"/>
                <w:szCs w:val="18"/>
              </w:rPr>
              <w:t>İTHALATTA GÖZETİM UYGULANMASINA İLİŞKİN TEBLİĞ</w:t>
            </w:r>
          </w:p>
          <w:p w:rsidR="006526A5" w:rsidRDefault="006526A5">
            <w:pPr>
              <w:pStyle w:val="ortabalkbold"/>
              <w:spacing w:before="0" w:beforeAutospacing="0" w:after="170" w:afterAutospacing="0" w:line="240" w:lineRule="atLeast"/>
              <w:jc w:val="center"/>
              <w:rPr>
                <w:b/>
                <w:bCs/>
                <w:sz w:val="19"/>
                <w:szCs w:val="19"/>
              </w:rPr>
            </w:pPr>
            <w:r>
              <w:rPr>
                <w:b/>
                <w:bCs/>
                <w:sz w:val="18"/>
                <w:szCs w:val="18"/>
              </w:rPr>
              <w:t>(TEBLİĞ NO: 2017/2)</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Kapsam</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MADDE 1 –</w:t>
            </w:r>
            <w:r>
              <w:rPr>
                <w:sz w:val="18"/>
                <w:szCs w:val="18"/>
              </w:rPr>
              <w:t> </w:t>
            </w:r>
            <w:r>
              <w:rPr>
                <w:rStyle w:val="apple-converted-space"/>
                <w:sz w:val="18"/>
                <w:szCs w:val="18"/>
              </w:rPr>
              <w:t> </w:t>
            </w:r>
            <w:r>
              <w:rPr>
                <w:sz w:val="18"/>
                <w:szCs w:val="18"/>
              </w:rPr>
              <w:t>(1)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p w:rsidR="006526A5" w:rsidRDefault="006526A5">
            <w:pPr>
              <w:pStyle w:val="3-normalyaz"/>
              <w:ind w:firstLine="709"/>
            </w:pPr>
            <w:r>
              <w:t> </w:t>
            </w:r>
          </w:p>
          <w:tbl>
            <w:tblPr>
              <w:tblW w:w="8505" w:type="dxa"/>
              <w:jc w:val="center"/>
              <w:tblCellMar>
                <w:left w:w="0" w:type="dxa"/>
                <w:right w:w="0" w:type="dxa"/>
              </w:tblCellMar>
              <w:tblLook w:val="04A0" w:firstRow="1" w:lastRow="0" w:firstColumn="1" w:lastColumn="0" w:noHBand="0" w:noVBand="1"/>
            </w:tblPr>
            <w:tblGrid>
              <w:gridCol w:w="1942"/>
              <w:gridCol w:w="3345"/>
              <w:gridCol w:w="3218"/>
            </w:tblGrid>
            <w:tr w:rsidR="006526A5">
              <w:trPr>
                <w:trHeight w:val="246"/>
                <w:jc w:val="center"/>
              </w:trPr>
              <w:tc>
                <w:tcPr>
                  <w:tcW w:w="2000" w:type="dxa"/>
                  <w:vMerge w:val="restart"/>
                  <w:tcBorders>
                    <w:top w:val="single" w:sz="8" w:space="0" w:color="auto"/>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6526A5" w:rsidRDefault="006526A5">
                  <w:pPr>
                    <w:jc w:val="center"/>
                  </w:pPr>
                  <w:r>
                    <w:rPr>
                      <w:b/>
                      <w:bCs/>
                      <w:color w:val="000000"/>
                      <w:sz w:val="18"/>
                      <w:szCs w:val="18"/>
                    </w:rPr>
                    <w:t>GTİP</w:t>
                  </w:r>
                </w:p>
              </w:tc>
              <w:tc>
                <w:tcPr>
                  <w:tcW w:w="3529" w:type="dxa"/>
                  <w:vMerge w:val="restart"/>
                  <w:tcBorders>
                    <w:top w:val="single" w:sz="8" w:space="0" w:color="auto"/>
                    <w:left w:val="nil"/>
                    <w:bottom w:val="single" w:sz="8" w:space="0" w:color="000000"/>
                    <w:right w:val="single" w:sz="8" w:space="0" w:color="auto"/>
                  </w:tcBorders>
                  <w:tcMar>
                    <w:top w:w="0" w:type="dxa"/>
                    <w:left w:w="70" w:type="dxa"/>
                    <w:bottom w:w="0" w:type="dxa"/>
                    <w:right w:w="70" w:type="dxa"/>
                  </w:tcMar>
                  <w:vAlign w:val="center"/>
                  <w:hideMark/>
                </w:tcPr>
                <w:p w:rsidR="006526A5" w:rsidRDefault="006526A5">
                  <w:pPr>
                    <w:jc w:val="center"/>
                  </w:pPr>
                  <w:r>
                    <w:rPr>
                      <w:b/>
                      <w:bCs/>
                      <w:color w:val="000000"/>
                      <w:sz w:val="18"/>
                      <w:szCs w:val="18"/>
                    </w:rPr>
                    <w:t>Eşyanın Tanımı</w:t>
                  </w:r>
                </w:p>
              </w:tc>
              <w:tc>
                <w:tcPr>
                  <w:tcW w:w="35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6526A5" w:rsidRDefault="006526A5">
                  <w:pPr>
                    <w:jc w:val="center"/>
                  </w:pPr>
                  <w:r>
                    <w:rPr>
                      <w:b/>
                      <w:bCs/>
                      <w:color w:val="000000"/>
                      <w:sz w:val="18"/>
                      <w:szCs w:val="18"/>
                    </w:rPr>
                    <w:t>Birim Gümrük Kıymeti</w:t>
                  </w:r>
                </w:p>
              </w:tc>
            </w:tr>
            <w:tr w:rsidR="006526A5">
              <w:trPr>
                <w:trHeight w:val="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526A5" w:rsidRDefault="006526A5"/>
              </w:tc>
              <w:tc>
                <w:tcPr>
                  <w:tcW w:w="0" w:type="auto"/>
                  <w:vMerge/>
                  <w:tcBorders>
                    <w:top w:val="single" w:sz="8" w:space="0" w:color="auto"/>
                    <w:left w:val="nil"/>
                    <w:bottom w:val="single" w:sz="8" w:space="0" w:color="000000"/>
                    <w:right w:val="single" w:sz="8" w:space="0" w:color="auto"/>
                  </w:tcBorders>
                  <w:vAlign w:val="center"/>
                  <w:hideMark/>
                </w:tcPr>
                <w:p w:rsidR="006526A5" w:rsidRDefault="006526A5"/>
              </w:tc>
              <w:tc>
                <w:tcPr>
                  <w:tcW w:w="35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526A5" w:rsidRDefault="006526A5">
                  <w:pPr>
                    <w:jc w:val="center"/>
                  </w:pPr>
                  <w:r>
                    <w:rPr>
                      <w:b/>
                      <w:bCs/>
                      <w:color w:val="000000"/>
                      <w:sz w:val="18"/>
                      <w:szCs w:val="18"/>
                    </w:rPr>
                    <w:t>(ABD Doları/Kg*)</w:t>
                  </w:r>
                </w:p>
              </w:tc>
            </w:tr>
            <w:tr w:rsidR="006526A5">
              <w:trPr>
                <w:trHeight w:val="315"/>
                <w:jc w:val="center"/>
              </w:trPr>
              <w:tc>
                <w:tcPr>
                  <w:tcW w:w="20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26A5" w:rsidRDefault="006526A5">
                  <w:pPr>
                    <w:jc w:val="center"/>
                  </w:pPr>
                  <w:r>
                    <w:rPr>
                      <w:color w:val="000000"/>
                      <w:sz w:val="18"/>
                      <w:szCs w:val="18"/>
                    </w:rPr>
                    <w:t>  4011.10.00.90.12 </w:t>
                  </w:r>
                </w:p>
              </w:tc>
              <w:tc>
                <w:tcPr>
                  <w:tcW w:w="3529" w:type="dxa"/>
                  <w:tcBorders>
                    <w:top w:val="nil"/>
                    <w:left w:val="nil"/>
                    <w:bottom w:val="single" w:sz="8" w:space="0" w:color="auto"/>
                    <w:right w:val="nil"/>
                  </w:tcBorders>
                  <w:tcMar>
                    <w:top w:w="0" w:type="dxa"/>
                    <w:left w:w="70" w:type="dxa"/>
                    <w:bottom w:w="0" w:type="dxa"/>
                    <w:right w:w="70" w:type="dxa"/>
                  </w:tcMar>
                  <w:vAlign w:val="center"/>
                  <w:hideMark/>
                </w:tcPr>
                <w:p w:rsidR="006526A5" w:rsidRDefault="006526A5">
                  <w:r>
                    <w:rPr>
                      <w:color w:val="000000"/>
                      <w:sz w:val="18"/>
                      <w:szCs w:val="18"/>
                    </w:rPr>
                    <w:t>Çelik Kuşaklı</w:t>
                  </w:r>
                  <w:r>
                    <w:rPr>
                      <w:rStyle w:val="apple-converted-space"/>
                      <w:color w:val="000000"/>
                      <w:sz w:val="18"/>
                      <w:szCs w:val="18"/>
                    </w:rPr>
                    <w:t> </w:t>
                  </w:r>
                  <w:proofErr w:type="spellStart"/>
                  <w:r>
                    <w:rPr>
                      <w:rStyle w:val="spelle"/>
                      <w:color w:val="000000"/>
                      <w:sz w:val="18"/>
                      <w:szCs w:val="18"/>
                    </w:rPr>
                    <w:t>Radyal</w:t>
                  </w:r>
                  <w:proofErr w:type="spellEnd"/>
                  <w:r>
                    <w:rPr>
                      <w:rStyle w:val="apple-converted-space"/>
                      <w:color w:val="000000"/>
                      <w:sz w:val="18"/>
                      <w:szCs w:val="18"/>
                    </w:rPr>
                    <w:t> </w:t>
                  </w:r>
                  <w:r>
                    <w:rPr>
                      <w:color w:val="000000"/>
                      <w:sz w:val="18"/>
                      <w:szCs w:val="18"/>
                    </w:rPr>
                    <w:t>Dış Lastikler</w:t>
                  </w:r>
                </w:p>
              </w:tc>
              <w:tc>
                <w:tcPr>
                  <w:tcW w:w="3543" w:type="dxa"/>
                  <w:vMerge w:val="restart"/>
                  <w:tcBorders>
                    <w:top w:val="nil"/>
                    <w:left w:val="single" w:sz="8" w:space="0" w:color="auto"/>
                    <w:bottom w:val="single" w:sz="8" w:space="0" w:color="000000"/>
                    <w:right w:val="single" w:sz="8" w:space="0" w:color="auto"/>
                  </w:tcBorders>
                  <w:tcMar>
                    <w:top w:w="0" w:type="dxa"/>
                    <w:left w:w="70" w:type="dxa"/>
                    <w:bottom w:w="0" w:type="dxa"/>
                    <w:right w:w="70" w:type="dxa"/>
                  </w:tcMar>
                  <w:vAlign w:val="center"/>
                  <w:hideMark/>
                </w:tcPr>
                <w:p w:rsidR="006526A5" w:rsidRDefault="006526A5">
                  <w:pPr>
                    <w:jc w:val="center"/>
                  </w:pPr>
                  <w:r>
                    <w:rPr>
                      <w:color w:val="000000"/>
                      <w:sz w:val="18"/>
                      <w:szCs w:val="18"/>
                    </w:rPr>
                    <w:t>3</w:t>
                  </w:r>
                </w:p>
              </w:tc>
            </w:tr>
            <w:tr w:rsidR="006526A5">
              <w:trPr>
                <w:trHeight w:val="315"/>
                <w:jc w:val="center"/>
              </w:trPr>
              <w:tc>
                <w:tcPr>
                  <w:tcW w:w="20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6526A5" w:rsidRDefault="006526A5">
                  <w:pPr>
                    <w:jc w:val="center"/>
                  </w:pPr>
                  <w:r>
                    <w:rPr>
                      <w:color w:val="000000"/>
                      <w:sz w:val="18"/>
                      <w:szCs w:val="18"/>
                    </w:rPr>
                    <w:t>4011.20.10.00.19</w:t>
                  </w:r>
                </w:p>
              </w:tc>
              <w:tc>
                <w:tcPr>
                  <w:tcW w:w="3529" w:type="dxa"/>
                  <w:tcBorders>
                    <w:top w:val="nil"/>
                    <w:left w:val="nil"/>
                    <w:bottom w:val="single" w:sz="8" w:space="0" w:color="auto"/>
                    <w:right w:val="nil"/>
                  </w:tcBorders>
                  <w:tcMar>
                    <w:top w:w="0" w:type="dxa"/>
                    <w:left w:w="70" w:type="dxa"/>
                    <w:bottom w:w="0" w:type="dxa"/>
                    <w:right w:w="70" w:type="dxa"/>
                  </w:tcMar>
                  <w:vAlign w:val="center"/>
                  <w:hideMark/>
                </w:tcPr>
                <w:p w:rsidR="006526A5" w:rsidRDefault="006526A5">
                  <w:r>
                    <w:rPr>
                      <w:color w:val="000000"/>
                      <w:sz w:val="18"/>
                      <w:szCs w:val="18"/>
                    </w:rPr>
                    <w:t>Diğerleri</w:t>
                  </w:r>
                </w:p>
              </w:tc>
              <w:tc>
                <w:tcPr>
                  <w:tcW w:w="0" w:type="auto"/>
                  <w:vMerge/>
                  <w:tcBorders>
                    <w:top w:val="nil"/>
                    <w:left w:val="single" w:sz="8" w:space="0" w:color="auto"/>
                    <w:bottom w:val="single" w:sz="8" w:space="0" w:color="000000"/>
                    <w:right w:val="single" w:sz="8" w:space="0" w:color="auto"/>
                  </w:tcBorders>
                  <w:vAlign w:val="center"/>
                  <w:hideMark/>
                </w:tcPr>
                <w:p w:rsidR="006526A5" w:rsidRDefault="006526A5"/>
              </w:tc>
            </w:tr>
          </w:tbl>
          <w:p w:rsidR="006526A5" w:rsidRDefault="006526A5">
            <w:pPr>
              <w:pStyle w:val="3-normalyaz"/>
              <w:ind w:firstLine="709"/>
            </w:pPr>
            <w:r>
              <w:rPr>
                <w:sz w:val="18"/>
                <w:szCs w:val="18"/>
              </w:rPr>
              <w:t>*Kg: Brüt Ağırlık  </w:t>
            </w:r>
          </w:p>
          <w:p w:rsidR="006526A5" w:rsidRDefault="006526A5">
            <w:pPr>
              <w:pStyle w:val="metin"/>
              <w:spacing w:before="0" w:beforeAutospacing="0" w:after="0" w:afterAutospacing="0" w:line="240" w:lineRule="atLeast"/>
              <w:jc w:val="center"/>
              <w:rPr>
                <w:sz w:val="19"/>
                <w:szCs w:val="19"/>
              </w:rPr>
            </w:pPr>
            <w:r>
              <w:rPr>
                <w:b/>
                <w:bCs/>
                <w:sz w:val="18"/>
                <w:szCs w:val="18"/>
              </w:rPr>
              <w:t> </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Gözetim uygulaması</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MADDE 2 –</w:t>
            </w:r>
            <w:r>
              <w:rPr>
                <w:rStyle w:val="apple-converted-space"/>
                <w:sz w:val="18"/>
                <w:szCs w:val="18"/>
              </w:rPr>
              <w:t> </w:t>
            </w:r>
            <w:r>
              <w:rPr>
                <w:sz w:val="18"/>
                <w:szCs w:val="18"/>
              </w:rPr>
              <w:t>(1) Bu Tebliğin 1 inci maddesinde belirtilen eşya ancak Ekonomi Bakanlığınca (İthalat Genel Müdürlüğü) düzenlenecek Gözetim Belgesi ile ithal edilir. Gözetim Belgesi gümrük beyannamesinin tescilinde ilgili gümrük idaresince aranır. Elektronik ortamda düzenlenen Gözetim Belgeleri için Tek Pencere Sistemi tarafından verilecek 23 haneli belge numarası ile belge tarihi yükümlü tarafından beyannamenin 44</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kutusunda “Belge Referans No” ve “Belge Tarihi” alanlarında beyan edilir.</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Başvuru</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MADDE 3 –</w:t>
            </w:r>
            <w:r>
              <w:rPr>
                <w:rStyle w:val="apple-converted-space"/>
                <w:sz w:val="18"/>
                <w:szCs w:val="18"/>
              </w:rPr>
              <w:t> </w:t>
            </w:r>
            <w:r>
              <w:rPr>
                <w:sz w:val="18"/>
                <w:szCs w:val="18"/>
              </w:rPr>
              <w:t>(1) Gözetim Belgesi taleplerine ilişkin başvuruların değerlendirmeye alınabilmesi için Ek-1’de yer alan “Gözetim Belgesi Başvuru Formu ve Ek-2’de yer alan formlar ve belgelerle birlikte eksiksiz bir şekilde İthalat Genel Müdürlüğüne iletilmesi gerekir.</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İnceleme</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MADDE 4 –</w:t>
            </w:r>
            <w:r>
              <w:rPr>
                <w:rStyle w:val="apple-converted-space"/>
                <w:sz w:val="18"/>
                <w:szCs w:val="18"/>
              </w:rPr>
              <w:t> </w:t>
            </w:r>
            <w:r>
              <w:rPr>
                <w:sz w:val="18"/>
                <w:szCs w:val="18"/>
              </w:rPr>
              <w:t>(1) Bu Tebliğin 3 üncü maddesinde belirtilen formlar ve belgelerin İthalat Genel Müdürlüğüne iletilmesini müteakip İthalat Genel Müdürlüğü tarafından gerekli görülmesi veya iletilen bilgi ve belgelerde çelişki tespit edilmesi halinde ek bilgi ve belge istenebilir.</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Yaptırım</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MADDE 5 –</w:t>
            </w:r>
            <w:r>
              <w:rPr>
                <w:rStyle w:val="apple-converted-space"/>
                <w:sz w:val="18"/>
                <w:szCs w:val="18"/>
              </w:rPr>
              <w:t> </w:t>
            </w:r>
            <w:r>
              <w:rPr>
                <w:sz w:val="18"/>
                <w:szCs w:val="18"/>
              </w:rPr>
              <w:t>(1) Başvuru ya da inceleme aşamasında istenen belgelerde başvuru sahibinin beyanının gerçeğe aykırı olduğunun veya sunduğu bilgi ve belgelerde tutarsızlık veya eksiklik bulunduğunun tespit edilmesi halinde Gözetim Belgesi düzenlenmez.</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Gözetim belgesine ve gözetim belgesinin kullanımına ait bilgiler</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MADDE 6 –</w:t>
            </w:r>
            <w:r>
              <w:rPr>
                <w:rStyle w:val="apple-converted-space"/>
                <w:sz w:val="18"/>
                <w:szCs w:val="18"/>
              </w:rPr>
              <w:t> </w:t>
            </w:r>
            <w:r>
              <w:rPr>
                <w:sz w:val="18"/>
                <w:szCs w:val="18"/>
              </w:rPr>
              <w:t>(1) Gözetim belgelerinin geçerlilik süresi altı aydır.</w:t>
            </w:r>
          </w:p>
          <w:p w:rsidR="006526A5" w:rsidRDefault="006526A5">
            <w:pPr>
              <w:pStyle w:val="metin"/>
              <w:spacing w:before="0" w:beforeAutospacing="0" w:after="0" w:afterAutospacing="0" w:line="240" w:lineRule="atLeast"/>
              <w:ind w:firstLine="566"/>
              <w:jc w:val="both"/>
              <w:rPr>
                <w:sz w:val="19"/>
                <w:szCs w:val="19"/>
              </w:rPr>
            </w:pPr>
            <w:r>
              <w:rPr>
                <w:sz w:val="18"/>
                <w:szCs w:val="18"/>
              </w:rPr>
              <w:t>(2) Gözetim belgesi,</w:t>
            </w:r>
            <w:r>
              <w:rPr>
                <w:rStyle w:val="apple-converted-space"/>
                <w:sz w:val="18"/>
                <w:szCs w:val="18"/>
              </w:rPr>
              <w:t> </w:t>
            </w:r>
            <w:proofErr w:type="gramStart"/>
            <w:r>
              <w:rPr>
                <w:rStyle w:val="grame"/>
                <w:sz w:val="18"/>
                <w:szCs w:val="18"/>
              </w:rPr>
              <w:t>27/10/1999</w:t>
            </w:r>
            <w:proofErr w:type="gramEnd"/>
            <w:r>
              <w:rPr>
                <w:rStyle w:val="apple-converted-space"/>
                <w:sz w:val="18"/>
                <w:szCs w:val="18"/>
              </w:rPr>
              <w:t> </w:t>
            </w:r>
            <w:r>
              <w:rPr>
                <w:sz w:val="18"/>
                <w:szCs w:val="18"/>
              </w:rPr>
              <w:t>tarihli ve 4458 sayılı Gümrük Kanununun eşyanın gümrük kıymetine ilişkin hükümlerinin uygulanmasını engellemez. 1 inci maddede belirtilen kıymet, 4458 Gümrük Kanununun eşyanın gümrük kıymetine ilişkin hükümlerinin uygulanmasına esas teşkil etmez.</w:t>
            </w:r>
          </w:p>
          <w:p w:rsidR="006526A5" w:rsidRDefault="006526A5">
            <w:pPr>
              <w:pStyle w:val="metin"/>
              <w:spacing w:before="0" w:beforeAutospacing="0" w:after="0" w:afterAutospacing="0" w:line="240" w:lineRule="atLeast"/>
              <w:ind w:firstLine="566"/>
              <w:jc w:val="both"/>
              <w:rPr>
                <w:sz w:val="19"/>
                <w:szCs w:val="19"/>
              </w:rPr>
            </w:pPr>
            <w:r>
              <w:rPr>
                <w:sz w:val="18"/>
                <w:szCs w:val="18"/>
              </w:rPr>
              <w:t>(3) Gümrük beyannamesinin tescili sırasında gümrüklerce tespit ve kabul edilen kıymet veya miktarın, gözetim belgesinde kayıtlı kıymet veya miktarı, toplam %5'ten (%5</w:t>
            </w:r>
            <w:r>
              <w:rPr>
                <w:rStyle w:val="apple-converted-space"/>
                <w:sz w:val="18"/>
                <w:szCs w:val="18"/>
              </w:rPr>
              <w:t> </w:t>
            </w:r>
            <w:proofErr w:type="gramStart"/>
            <w:r>
              <w:rPr>
                <w:rStyle w:val="grame"/>
                <w:sz w:val="18"/>
                <w:szCs w:val="18"/>
              </w:rPr>
              <w:t>dahil</w:t>
            </w:r>
            <w:proofErr w:type="gramEnd"/>
            <w:r>
              <w:rPr>
                <w:sz w:val="18"/>
                <w:szCs w:val="18"/>
              </w:rPr>
              <w:t>) daha az bir oranda aşması ithalatın yapılmasını engellemez.</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Yürürlükten kaldırılan tebliğ</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MADDE 7 –</w:t>
            </w:r>
            <w:r>
              <w:rPr>
                <w:rStyle w:val="apple-converted-space"/>
                <w:sz w:val="18"/>
                <w:szCs w:val="18"/>
              </w:rPr>
              <w:t> </w:t>
            </w:r>
            <w:r>
              <w:rPr>
                <w:sz w:val="18"/>
                <w:szCs w:val="18"/>
              </w:rPr>
              <w:t>(1)</w:t>
            </w:r>
            <w:r>
              <w:rPr>
                <w:rStyle w:val="apple-converted-space"/>
                <w:sz w:val="18"/>
                <w:szCs w:val="18"/>
              </w:rPr>
              <w:t> </w:t>
            </w:r>
            <w:proofErr w:type="gramStart"/>
            <w:r>
              <w:rPr>
                <w:rStyle w:val="grame"/>
                <w:sz w:val="18"/>
                <w:szCs w:val="18"/>
              </w:rPr>
              <w:t>12/5/2016</w:t>
            </w:r>
            <w:proofErr w:type="gramEnd"/>
            <w:r>
              <w:rPr>
                <w:rStyle w:val="apple-converted-space"/>
                <w:sz w:val="18"/>
                <w:szCs w:val="18"/>
              </w:rPr>
              <w:t> </w:t>
            </w:r>
            <w:r>
              <w:rPr>
                <w:sz w:val="18"/>
                <w:szCs w:val="18"/>
              </w:rPr>
              <w:t xml:space="preserve">tarihli ve 29710 sayılı Resmî </w:t>
            </w:r>
            <w:proofErr w:type="spellStart"/>
            <w:r>
              <w:rPr>
                <w:sz w:val="18"/>
                <w:szCs w:val="18"/>
              </w:rPr>
              <w:t>Gazete’de</w:t>
            </w:r>
            <w:proofErr w:type="spellEnd"/>
            <w:r>
              <w:rPr>
                <w:sz w:val="18"/>
                <w:szCs w:val="18"/>
              </w:rPr>
              <w:t xml:space="preserve"> yayımlanan İthalatta Gözetim Uygulanmasına İlişkin Tebliğ (Tebliğ No: 2016/2) yürürlükten kaldırılmıştır.</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Yürürlük</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MADDE 8 –</w:t>
            </w:r>
            <w:r>
              <w:rPr>
                <w:rStyle w:val="apple-converted-space"/>
                <w:sz w:val="18"/>
                <w:szCs w:val="18"/>
              </w:rPr>
              <w:t> </w:t>
            </w:r>
            <w:r>
              <w:rPr>
                <w:sz w:val="18"/>
                <w:szCs w:val="18"/>
              </w:rPr>
              <w:t>(1) Bu Tebliğ yayımı tarihinde yürürlüğe girer.</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Yürütme</w:t>
            </w:r>
          </w:p>
          <w:p w:rsidR="006526A5" w:rsidRDefault="006526A5">
            <w:pPr>
              <w:pStyle w:val="metin"/>
              <w:spacing w:before="0" w:beforeAutospacing="0" w:after="0" w:afterAutospacing="0" w:line="240" w:lineRule="atLeast"/>
              <w:ind w:firstLine="566"/>
              <w:jc w:val="both"/>
              <w:rPr>
                <w:sz w:val="19"/>
                <w:szCs w:val="19"/>
              </w:rPr>
            </w:pPr>
            <w:r>
              <w:rPr>
                <w:b/>
                <w:bCs/>
                <w:sz w:val="18"/>
                <w:szCs w:val="18"/>
              </w:rPr>
              <w:t>MADDE 9 –</w:t>
            </w:r>
            <w:r>
              <w:rPr>
                <w:rStyle w:val="apple-converted-space"/>
                <w:sz w:val="18"/>
                <w:szCs w:val="18"/>
              </w:rPr>
              <w:t> </w:t>
            </w:r>
            <w:r>
              <w:rPr>
                <w:sz w:val="18"/>
                <w:szCs w:val="18"/>
              </w:rPr>
              <w:t>(1) Bu Tebliğ hükümlerini Ekonomi Bakanı yürütür.</w:t>
            </w:r>
          </w:p>
          <w:p w:rsidR="006526A5" w:rsidRDefault="006526A5">
            <w:pPr>
              <w:pStyle w:val="metin"/>
              <w:spacing w:before="0" w:beforeAutospacing="0" w:after="0" w:afterAutospacing="0" w:line="240" w:lineRule="atLeast"/>
              <w:ind w:firstLine="566"/>
              <w:jc w:val="both"/>
              <w:rPr>
                <w:sz w:val="19"/>
                <w:szCs w:val="19"/>
              </w:rPr>
            </w:pPr>
            <w:r>
              <w:rPr>
                <w:sz w:val="18"/>
                <w:szCs w:val="18"/>
              </w:rPr>
              <w:t> </w:t>
            </w:r>
          </w:p>
          <w:p w:rsidR="006526A5" w:rsidRDefault="006526A5">
            <w:pPr>
              <w:pStyle w:val="metin"/>
              <w:spacing w:before="0" w:beforeAutospacing="0" w:after="0" w:afterAutospacing="0" w:line="240" w:lineRule="atLeast"/>
              <w:jc w:val="both"/>
              <w:rPr>
                <w:sz w:val="19"/>
                <w:szCs w:val="19"/>
              </w:rPr>
            </w:pPr>
            <w:hyperlink r:id="rId4" w:history="1">
              <w:r>
                <w:rPr>
                  <w:rStyle w:val="Kpr"/>
                  <w:b/>
                  <w:bCs/>
                  <w:color w:val="800080"/>
                  <w:sz w:val="18"/>
                  <w:szCs w:val="18"/>
                </w:rPr>
                <w:t>Ekler için tıklayınız</w:t>
              </w:r>
            </w:hyperlink>
          </w:p>
          <w:p w:rsidR="006526A5" w:rsidRDefault="006526A5">
            <w:pPr>
              <w:pStyle w:val="NormalWeb"/>
              <w:jc w:val="center"/>
            </w:pPr>
            <w:r>
              <w:rPr>
                <w:rFonts w:ascii="Arial" w:hAnsi="Arial" w:cs="Arial"/>
                <w:b/>
                <w:bCs/>
                <w:color w:val="000080"/>
                <w:sz w:val="18"/>
                <w:szCs w:val="18"/>
              </w:rPr>
              <w:t> </w:t>
            </w:r>
          </w:p>
        </w:tc>
      </w:tr>
    </w:tbl>
    <w:p w:rsidR="00D6253D" w:rsidRDefault="00D6253D">
      <w:bookmarkStart w:id="0" w:name="_GoBack"/>
      <w:bookmarkEnd w:id="0"/>
    </w:p>
    <w:sectPr w:rsidR="00D62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A5"/>
    <w:rsid w:val="006526A5"/>
    <w:rsid w:val="00D625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D079B-072B-4149-B2DA-1A0D71BB4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A5"/>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26A5"/>
    <w:rPr>
      <w:color w:val="0563C1"/>
      <w:u w:val="single"/>
    </w:rPr>
  </w:style>
  <w:style w:type="paragraph" w:styleId="NormalWeb">
    <w:name w:val="Normal (Web)"/>
    <w:basedOn w:val="Normal"/>
    <w:uiPriority w:val="99"/>
    <w:semiHidden/>
    <w:unhideWhenUsed/>
    <w:rsid w:val="006526A5"/>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6526A5"/>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6526A5"/>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6526A5"/>
    <w:pPr>
      <w:spacing w:before="100" w:beforeAutospacing="1" w:after="100" w:afterAutospacing="1"/>
    </w:pPr>
    <w:rPr>
      <w:rFonts w:ascii="Times New Roman" w:hAnsi="Times New Roman" w:cs="Times New Roman"/>
      <w:sz w:val="24"/>
      <w:szCs w:val="24"/>
      <w:lang w:eastAsia="tr-TR"/>
    </w:rPr>
  </w:style>
  <w:style w:type="paragraph" w:customStyle="1" w:styleId="3-normalyaz">
    <w:name w:val="3-normalyaz"/>
    <w:basedOn w:val="Normal"/>
    <w:uiPriority w:val="99"/>
    <w:semiHidden/>
    <w:rsid w:val="006526A5"/>
    <w:pPr>
      <w:spacing w:before="100" w:beforeAutospacing="1" w:after="100" w:afterAutospacing="1"/>
    </w:pPr>
    <w:rPr>
      <w:rFonts w:ascii="Times New Roman" w:hAnsi="Times New Roman" w:cs="Times New Roman"/>
      <w:sz w:val="24"/>
      <w:szCs w:val="24"/>
      <w:lang w:eastAsia="tr-TR"/>
    </w:rPr>
  </w:style>
  <w:style w:type="character" w:customStyle="1" w:styleId="grame">
    <w:name w:val="grame"/>
    <w:basedOn w:val="VarsaylanParagrafYazTipi"/>
    <w:rsid w:val="006526A5"/>
  </w:style>
  <w:style w:type="character" w:customStyle="1" w:styleId="apple-converted-space">
    <w:name w:val="apple-converted-space"/>
    <w:basedOn w:val="VarsaylanParagrafYazTipi"/>
    <w:rsid w:val="006526A5"/>
  </w:style>
  <w:style w:type="character" w:customStyle="1" w:styleId="spelle">
    <w:name w:val="spelle"/>
    <w:basedOn w:val="VarsaylanParagrafYazTipi"/>
    <w:rsid w:val="0065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4/20170411-5-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2017-04-11T09:15:00Z</dcterms:created>
  <dcterms:modified xsi:type="dcterms:W3CDTF">2017-04-11T09:17:00Z</dcterms:modified>
</cp:coreProperties>
</file>