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95A9C" w:rsidTr="00295A9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5A9C" w:rsidRDefault="00295A9C">
            <w:pPr>
              <w:spacing w:line="240" w:lineRule="exact"/>
              <w:rPr>
                <w:rFonts w:ascii="Arial" w:hAnsi="Arial" w:cs="Arial"/>
                <w:b/>
                <w:bCs/>
                <w:sz w:val="16"/>
                <w:szCs w:val="16"/>
                <w:lang w:eastAsia="tr-TR"/>
              </w:rPr>
            </w:pPr>
            <w:r>
              <w:rPr>
                <w:rFonts w:ascii="Arial" w:hAnsi="Arial" w:cs="Arial"/>
                <w:sz w:val="16"/>
                <w:szCs w:val="16"/>
                <w:lang w:eastAsia="tr-TR"/>
              </w:rPr>
              <w:t>6 Şubat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5A9C" w:rsidRDefault="00295A9C">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95A9C" w:rsidRDefault="00295A9C">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29616</w:t>
            </w:r>
            <w:proofErr w:type="gramEnd"/>
          </w:p>
        </w:tc>
      </w:tr>
      <w:tr w:rsidR="00295A9C" w:rsidTr="00295A9C">
        <w:trPr>
          <w:trHeight w:val="480"/>
          <w:jc w:val="center"/>
        </w:trPr>
        <w:tc>
          <w:tcPr>
            <w:tcW w:w="8789" w:type="dxa"/>
            <w:gridSpan w:val="3"/>
            <w:tcMar>
              <w:top w:w="0" w:type="dxa"/>
              <w:left w:w="108" w:type="dxa"/>
              <w:bottom w:w="0" w:type="dxa"/>
              <w:right w:w="108" w:type="dxa"/>
            </w:tcMar>
            <w:vAlign w:val="center"/>
            <w:hideMark/>
          </w:tcPr>
          <w:p w:rsidR="00295A9C" w:rsidRDefault="00295A9C">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295A9C" w:rsidTr="00295A9C">
        <w:trPr>
          <w:trHeight w:val="480"/>
          <w:jc w:val="center"/>
        </w:trPr>
        <w:tc>
          <w:tcPr>
            <w:tcW w:w="8789" w:type="dxa"/>
            <w:gridSpan w:val="3"/>
            <w:tcMar>
              <w:top w:w="0" w:type="dxa"/>
              <w:left w:w="108" w:type="dxa"/>
              <w:bottom w:w="0" w:type="dxa"/>
              <w:right w:w="108" w:type="dxa"/>
            </w:tcMar>
            <w:vAlign w:val="center"/>
          </w:tcPr>
          <w:p w:rsidR="00295A9C" w:rsidRDefault="00295A9C">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295A9C" w:rsidRDefault="00295A9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DAİR TEBLİĞ</w:t>
            </w:r>
          </w:p>
          <w:p w:rsidR="00295A9C" w:rsidRDefault="00295A9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2016/1)</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 ve kapsam</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Tebliğin amacı, </w:t>
            </w:r>
            <w:proofErr w:type="spellStart"/>
            <w:r>
              <w:rPr>
                <w:rFonts w:ascii="Times New Roman" w:hAnsi="Times New Roman" w:cs="Times New Roman"/>
                <w:sz w:val="18"/>
                <w:szCs w:val="18"/>
                <w:lang w:eastAsia="tr-TR"/>
              </w:rPr>
              <w:t>Betonstar</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Mak</w:t>
            </w:r>
            <w:proofErr w:type="spellEnd"/>
            <w:r>
              <w:rPr>
                <w:rFonts w:ascii="Times New Roman" w:hAnsi="Times New Roman" w:cs="Times New Roman"/>
                <w:sz w:val="18"/>
                <w:szCs w:val="18"/>
                <w:lang w:eastAsia="tr-TR"/>
              </w:rPr>
              <w:t xml:space="preserve">. San. </w:t>
            </w:r>
            <w:proofErr w:type="gramStart"/>
            <w:r>
              <w:rPr>
                <w:rFonts w:ascii="Times New Roman" w:hAnsi="Times New Roman" w:cs="Times New Roman"/>
                <w:sz w:val="18"/>
                <w:szCs w:val="18"/>
                <w:lang w:eastAsia="tr-TR"/>
              </w:rPr>
              <w:t>ve</w:t>
            </w:r>
            <w:proofErr w:type="gramEnd"/>
            <w:r>
              <w:rPr>
                <w:rFonts w:ascii="Times New Roman" w:hAnsi="Times New Roman" w:cs="Times New Roman"/>
                <w:sz w:val="18"/>
                <w:szCs w:val="18"/>
                <w:lang w:eastAsia="tr-TR"/>
              </w:rPr>
              <w:t xml:space="preserve"> Tic. A.Ş. tarafından yapılan ve </w:t>
            </w:r>
            <w:proofErr w:type="spellStart"/>
            <w:r>
              <w:rPr>
                <w:rFonts w:ascii="Times New Roman" w:hAnsi="Times New Roman" w:cs="Times New Roman"/>
                <w:sz w:val="18"/>
                <w:szCs w:val="18"/>
                <w:lang w:eastAsia="tr-TR"/>
              </w:rPr>
              <w:t>Putzmeister</w:t>
            </w:r>
            <w:proofErr w:type="spellEnd"/>
            <w:r>
              <w:rPr>
                <w:rFonts w:ascii="Times New Roman" w:hAnsi="Times New Roman" w:cs="Times New Roman"/>
                <w:sz w:val="18"/>
                <w:szCs w:val="18"/>
                <w:lang w:eastAsia="tr-TR"/>
              </w:rPr>
              <w:t xml:space="preserve"> Makine San. </w:t>
            </w:r>
            <w:proofErr w:type="gramStart"/>
            <w:r>
              <w:rPr>
                <w:rFonts w:ascii="Times New Roman" w:hAnsi="Times New Roman" w:cs="Times New Roman"/>
                <w:sz w:val="18"/>
                <w:szCs w:val="18"/>
                <w:lang w:eastAsia="tr-TR"/>
              </w:rPr>
              <w:t>ve</w:t>
            </w:r>
            <w:proofErr w:type="gramEnd"/>
            <w:r>
              <w:rPr>
                <w:rFonts w:ascii="Times New Roman" w:hAnsi="Times New Roman" w:cs="Times New Roman"/>
                <w:sz w:val="18"/>
                <w:szCs w:val="18"/>
                <w:lang w:eastAsia="tr-TR"/>
              </w:rPr>
              <w:t xml:space="preserve"> Tic. A.Ş. ile Pi Makine Otomotiv İnş. </w:t>
            </w:r>
            <w:proofErr w:type="spellStart"/>
            <w:r>
              <w:rPr>
                <w:rFonts w:ascii="Times New Roman" w:hAnsi="Times New Roman" w:cs="Times New Roman"/>
                <w:sz w:val="18"/>
                <w:szCs w:val="18"/>
                <w:lang w:eastAsia="tr-TR"/>
              </w:rPr>
              <w:t>Mak</w:t>
            </w:r>
            <w:proofErr w:type="spellEnd"/>
            <w:r>
              <w:rPr>
                <w:rFonts w:ascii="Times New Roman" w:hAnsi="Times New Roman" w:cs="Times New Roman"/>
                <w:sz w:val="18"/>
                <w:szCs w:val="18"/>
                <w:lang w:eastAsia="tr-TR"/>
              </w:rPr>
              <w:t xml:space="preserve">. Paz. İhr. İth. San. ve Tic. Ltd. Şti. tarafından desteklenen başvuruya istinaden Çin Halk Cumhuriyeti ve Kore Cumhuriyeti menşeli “beton pompası” ve “beton pompalama taşıtı” ürünlerinin ithalatına ilişkin olarak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 açılması ve açılan soruşturmanın usul ve esaslarının belirlenmesidir.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Dayanak</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 </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Tanımlar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xml:space="preserve"> (1) Bu Tebliğde geçen;</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Bakanlık: Ekonomi Bakanlığını,</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ÇHC: Çin Halk Cumhuriyetini,</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Genel Müdürlük: Bakanlık İthalat Genel Müdürlüğünü,</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GTİP: Gümrük tarife istatistik pozisyonunu,</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TÜİK: Türkiye İstatistik Kurumunu,</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e)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 YÜD:  Yerli üretim dalını,</w:t>
            </w:r>
          </w:p>
          <w:p w:rsidR="00295A9C" w:rsidRDefault="00295A9C">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Başvuru konusu ürünler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4 – </w:t>
            </w:r>
            <w:r>
              <w:rPr>
                <w:rFonts w:ascii="Times New Roman" w:hAnsi="Times New Roman" w:cs="Times New Roman"/>
                <w:sz w:val="18"/>
                <w:szCs w:val="18"/>
                <w:lang w:eastAsia="tr-TR"/>
              </w:rPr>
              <w:t xml:space="preserve">(1) Başvuru konusu ürünler, 8413.40.00.00.00 ve 8705.90.30.00.00 GTİP altında kayıtlı “beton pompaları” ve “beton pompalama </w:t>
            </w:r>
            <w:proofErr w:type="spellStart"/>
            <w:r>
              <w:rPr>
                <w:rFonts w:ascii="Times New Roman" w:hAnsi="Times New Roman" w:cs="Times New Roman"/>
                <w:sz w:val="18"/>
                <w:szCs w:val="18"/>
                <w:lang w:eastAsia="tr-TR"/>
              </w:rPr>
              <w:t>taşıtları”dır</w:t>
            </w:r>
            <w:proofErr w:type="spellEnd"/>
            <w:r>
              <w:rPr>
                <w:rFonts w:ascii="Times New Roman" w:hAnsi="Times New Roman" w:cs="Times New Roman"/>
                <w:sz w:val="18"/>
                <w:szCs w:val="18"/>
                <w:lang w:eastAsia="tr-TR"/>
              </w:rPr>
              <w:t>.</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Bahse konu </w:t>
            </w:r>
            <w:proofErr w:type="spellStart"/>
            <w:r>
              <w:rPr>
                <w:rFonts w:ascii="Times New Roman" w:hAnsi="Times New Roman" w:cs="Times New Roman"/>
                <w:sz w:val="18"/>
                <w:szCs w:val="18"/>
                <w:lang w:eastAsia="tr-TR"/>
              </w:rPr>
              <w:t>GTİP’ler</w:t>
            </w:r>
            <w:proofErr w:type="spellEnd"/>
            <w:r>
              <w:rPr>
                <w:rFonts w:ascii="Times New Roman" w:hAnsi="Times New Roman" w:cs="Times New Roman"/>
                <w:sz w:val="18"/>
                <w:szCs w:val="18"/>
                <w:lang w:eastAsia="tr-TR"/>
              </w:rPr>
              <w:t>, bilgi amaçlı verilmiş olup bağlayıcı mahiyette değildir.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Başvuru konusu ürünlerin Türk Gümrük Tarife Cetvelinde yer alan tarife pozisyonunda ve/veya eşya tanımında yapılacak değişiklikler bu Tebliğ hükümlerinin uygulanmasına engel teşkil etmez.</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Başvurunun temsil niteliği</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Başvuru aşamasında sunulan delillerden, başvurunun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w:t>
            </w:r>
            <w:proofErr w:type="spellStart"/>
            <w:r>
              <w:rPr>
                <w:rFonts w:ascii="Times New Roman" w:hAnsi="Times New Roman" w:cs="Times New Roman"/>
                <w:sz w:val="18"/>
                <w:szCs w:val="18"/>
                <w:lang w:eastAsia="tr-TR"/>
              </w:rPr>
              <w:t>YÜD’ü</w:t>
            </w:r>
            <w:proofErr w:type="spellEnd"/>
            <w:r>
              <w:rPr>
                <w:rFonts w:ascii="Times New Roman" w:hAnsi="Times New Roman" w:cs="Times New Roman"/>
                <w:sz w:val="18"/>
                <w:szCs w:val="18"/>
                <w:lang w:eastAsia="tr-TR"/>
              </w:rPr>
              <w:t xml:space="preserve"> temsil niteliğini haiz olduğu anlaşılmıştır.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 iddiası</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piyasa ekonomisi uygulamayan bir ülke olarak değerlendirilmesi nedeniyle, normal değerin tespitinde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uygulanarak şikâyetçi yerli üreticinin maliyetlerinden yola çıkılarak oluşturulmuş normal değer belirlenmiştir.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Diğer şikâyete konu ülke olan Kore Cumhuriyeti’nin iç piyasa satışlarına ilişkin veri bulunamadığından YÜD tarafından şikâyete konu ürünün üretiminde kullanılan hammaddelerin birim maliyetlerine direkt işçilik, yardımcı madde, dolaylı işçilik, yakıt, enerji, paketleme, </w:t>
            </w:r>
            <w:proofErr w:type="gramStart"/>
            <w:r>
              <w:rPr>
                <w:rFonts w:ascii="Times New Roman" w:hAnsi="Times New Roman" w:cs="Times New Roman"/>
                <w:sz w:val="18"/>
                <w:szCs w:val="18"/>
                <w:lang w:eastAsia="tr-TR"/>
              </w:rPr>
              <w:t>amortisman</w:t>
            </w:r>
            <w:proofErr w:type="gramEnd"/>
            <w:r>
              <w:rPr>
                <w:rFonts w:ascii="Times New Roman" w:hAnsi="Times New Roman" w:cs="Times New Roman"/>
                <w:sz w:val="18"/>
                <w:szCs w:val="18"/>
                <w:lang w:eastAsia="tr-TR"/>
              </w:rPr>
              <w:t xml:space="preserve"> gibi genel üretim giderlerine satış genel ve idari giderler ile finansman giderleri eklenmiş ve elde edilen bu fiyata makul bir kâr oranı ilave edilerek oluşturulmuş normal değer hesaplanmıştır. Söz konusu değer fabrika çıkış aşamasında kabul edilmiştir.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Şikâyet konusu ülkelerden, Türkiye’ye gerçekleştirilen satışların ihraç fiyatının belirlenmesinde, şikâyet konusu ürünlerin normal değerinin hesaplamasında kullanılan döneme ilişkin TÜİK verilerinden elde edilen ağırlıklı ortalama ihraç fiyatı esas alınmıştır. Söz konusu fiyattan harici navlun ve sigorta ile dâhili navlun bedelleri düşürülerek fiyat fabrika çıkış aşamasına getirilmiştir.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Bu maddede açıklandığı şekilde tespit edilen normal değerler ile Türkiye’ye ihraç fiyatları mümkün olduğu ölçüde aynı ticari aşamada (fabrika çıkış aşaması) karşılaştırılmış olup şikâyete konu ülkeler menşeli ürünler için hesaplanan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marjlarının ihmal edilebilir oranın üzerinde olduğu görülmüştür.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Zarar ve nedensellik iddiası</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ÇHC ve Kore Cumhuriyeti menşeli şikâyet konusu ürünlerin ithalatının toplam ithalat içerisindeki payının 2012-2015 (Ocak-Eylül) dönemi arasında ihmal edilebilir seviyenin üzerinde olduğu tespit edilmiştir. </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 xml:space="preserve">(2) ÇHC ve Kore Cumhuriyeti menşeli ithalatın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fiyatlarını 2012-2015 (Ocak-Eylül) döneminde önemli oranlarda kırdığı ve baskı altında tuttuğu tespit edilmiştir.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şikâyet konusu ürünlere ilişkin üretim, yurtiçi satışlar, kârlılık, stoklar, kapasite kullanım oranı ve istihdam gibi temel ekonomik göstergelerinde olumsuzluklar tespit edilmiştir. </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Başvuru aşamasında sunulan deliller ve ithalata ilişkin resmî istatistikler esas alınarak yapılan tespitler ışığında,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olduğu iddia edilen ithalatın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ekonomik göstergelerinde zarara yol açtığı değerlendirilmiştir. </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 ve işlemler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xml:space="preserve"> (1) Yapılan inceleme sonucunda; başvurunun yeterli bilgi, belge ve delilleri içerdiği anlaşıldığından, İthalatta Haksız Rekabeti Değerlendirme Kurulunca, ÇHC ve Kore Cumhuriyeti menşeli söz konusu ürünler için,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 açılmasına karar verilmiştir.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Soruşturma, Genel Müdürlük tarafından yürütülür.  </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Piyasa ekonomisinin uygulandığı üçüncü ülkenin seçimi </w:t>
            </w:r>
          </w:p>
          <w:p w:rsidR="00295A9C" w:rsidRDefault="00295A9C">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 xml:space="preserve">MADDE 9 – </w:t>
            </w: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soruşturmaya tabi üretici veya üreticilerin soruşturma konusu ürünün üretiminde ve satışında Yönetmeliğin Ek 1 inci maddesindeki ölçütler çerçevesinde piyasa ekonomisi koşullarının geçerli olduğunu bu Tebliğin 11 inci maddesinde belirtilen süreler içinde yeterli deliller ile ispat etmesi durumunda bu üretici veya üreticiler için normal değerin tespitinde Yönetmeliğin 5 inci maddesi, aksi takdirde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uygulanır. </w:t>
            </w:r>
            <w:proofErr w:type="gramEnd"/>
            <w:r>
              <w:rPr>
                <w:rFonts w:ascii="Times New Roman" w:hAnsi="Times New Roman" w:cs="Times New Roman"/>
                <w:sz w:val="18"/>
                <w:szCs w:val="18"/>
                <w:lang w:eastAsia="tr-TR"/>
              </w:rPr>
              <w:t xml:space="preserve">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hükümlerinin tatbiki halinde adı geçen ülke için piyasa ekonomisi uygulayan emsal ülke olarak Türkiye seçilir.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 formları ve bilgilerin toplanması</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xml:space="preserve"> (1) Soruşturma açılmasını müteakip, başvuruda belirtilen ve Bakanlıkça tespit edilen soruşturmaya konu ürünün ithalatçılarına, soruşturma konusu ülkede yerleşik bilinen üreticilerine/ihracatçılarına ve şikâyete konu ülkelerin Ankara’daki Büyükelçiliklerine soruşturmanın açılışına ilişkin bildirimde bulunulur.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Bildirimde, soruşturma açılış Tebliği, başvurunun gizli olmayan özeti ve soru formlarına nasıl erişileceği hususunda bilgi verilir.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 soru formuna Ekonomi Bakanlığına ait internet sayfasındaki ilgili bölümden erişebilir.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Soruşturmaya ilişkin yazılı ve sözlü iletişimler Türkçe yapılır. İlgili tarafların soru formuna ilişkin yanıtları ve bu yanıtlar dışında kalan tüm bilgi, belge, görüş ve talepleri yazılı olarak Türkçe sunulur. Türkçe dışında bir dilde sunulan yanıt, bilgi, belge, görüş ve talepler dikkate alınmaz.</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bu Tebliğin 11 inci maddesinin ikinci fıkrasında belirtilen süre içerisinde sunabilir.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Soruşturmanın sonucundan etkilenebileceklerini iddia eden, ancak birinci ve üçüncü fıkralar kapsamına girmeyen diğer ilgili taraflar (ürünü girdi olarak kullanan işletmeler, bunların meslek kuruluşları, tüketici dernekleri, üretim dalındaki işçi veya işveren sendikaları gibi), görüşlerini bu Tebliğin 11 inci maddesinin üçüncü fıkrasında belirtilen süre içerisinde Genel Müdürlüğe sunabilir.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yazılı olarak belirtilir. </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ikinci ve üçüncü fıkraları çerçevesinde gizlilik kaydıyla verilen her tür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 belirtilir.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Süreler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10 uncu maddenin birinci fıkrasında belirtilen bildirimin gönderildiği bütün ilgili taraflar için soru formunu cevaplandırma süresi, soruşturmanın açılışına ilişkin bildirimin gönderildiği tarihten itibaren posta süresi dâhil 37 gündür.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10 uncu maddenin üçüncü fıkrasında belirtilen bildirimin gönderilmediği bütün ilgili taraflar, soruşturma ile ilgili görüşlerini ve soru formuna ilişkin cevaplarını bu Tebliğin yayımı tarihinden itibaren başlayacak 37 günlük süre içerisinde sunabilir.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Soruşturmanın sonucundan etkilenebileceklerini iddia eden 10 uncu maddenin altıncı fıkrası kapsamına giren diğer ilgili taraflar, soruşturma ile ilgili görüşlerini bu Tebliğin yayımı tarihinden itibaren soruşturmanın akışını etkilemeyecek şekilde soruşturma süreci içerisinde sunabilir.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İşbirliğine gelinmemesi</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w:t>
            </w:r>
            <w:r>
              <w:rPr>
                <w:rFonts w:ascii="Times New Roman" w:hAnsi="Times New Roman" w:cs="Times New Roman"/>
                <w:sz w:val="18"/>
                <w:szCs w:val="18"/>
                <w:lang w:eastAsia="tr-TR"/>
              </w:rPr>
              <w:lastRenderedPageBreak/>
              <w:t xml:space="preserve">gelmemiş sayılır. Bu gibi hallerde soruşturma kapsamındaki geçici veya nihai belirlemeler, olumlu ya da olumsuz mevcut verilere göre yapılabilir. </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Geçici önlem alınması ve önlemlerin geriye dönük uygulanması</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xml:space="preserve"> (1) Kararın ilgili hükümleri uyarınca, soruşturma süresince geçici önlem uygulanması kararlaştırılabilir ve kesin önlem geriye dönük olarak uygulanabilir.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Önlemlerin uygulanmasında başlamış işlem kavramı ve istisnası bulunmamaktadır.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Yetkili merci ve adresi</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xml:space="preserve"> (1) Soruşturmayla ilgili bilgi, belge ve görüşlerin aşağıda belirtilen yetkili mercie yazılı olarak iletilmesi gerekir:</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T.C. Ekonomi Bakanlığı</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İthalat Genel Müdürlüğü</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Damping ve Sübvansiyon Araştırma Dairesi</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İnönü Bulvarı No: 36 Emek/ANKARA</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Faks: +90-312-204 86 33</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E-posta: </w:t>
            </w:r>
            <w:hyperlink r:id="rId4" w:history="1">
              <w:r>
                <w:rPr>
                  <w:rStyle w:val="Kpr"/>
                  <w:rFonts w:ascii="Times New Roman" w:hAnsi="Times New Roman" w:cs="Times New Roman"/>
                  <w:sz w:val="18"/>
                  <w:szCs w:val="18"/>
                  <w:lang w:eastAsia="tr-TR"/>
                </w:rPr>
                <w:t>dms249@ekonomi.gov.tr</w:t>
              </w:r>
            </w:hyperlink>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Soruşturmanın başlangıç tarihi</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xml:space="preserve"> (1) Soruşturma, bu Tebliğin yayımı tarihinde başlamış kabul edilir.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xml:space="preserve"> (1) Bu Tebliğ yayımı tarihinde yürürlüğe girer.</w:t>
            </w:r>
          </w:p>
          <w:p w:rsidR="00295A9C" w:rsidRDefault="00295A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295A9C" w:rsidRDefault="00295A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17 –</w:t>
            </w:r>
            <w:r>
              <w:rPr>
                <w:rFonts w:ascii="Times New Roman" w:hAnsi="Times New Roman" w:cs="Times New Roman"/>
                <w:sz w:val="18"/>
                <w:szCs w:val="18"/>
                <w:lang w:eastAsia="tr-TR"/>
              </w:rPr>
              <w:t xml:space="preserve"> (1) Bu Tebliğ hükümlerini Ekonomi Bakanı yürütür.</w:t>
            </w:r>
          </w:p>
          <w:p w:rsidR="00295A9C" w:rsidRDefault="00295A9C">
            <w:pPr>
              <w:spacing w:before="100" w:beforeAutospacing="1" w:after="100" w:afterAutospacing="1"/>
              <w:jc w:val="center"/>
              <w:rPr>
                <w:rFonts w:ascii="Arial" w:hAnsi="Arial" w:cs="Arial"/>
                <w:b/>
                <w:bCs/>
                <w:color w:val="000080"/>
                <w:sz w:val="18"/>
                <w:szCs w:val="18"/>
                <w:lang w:eastAsia="tr-TR"/>
              </w:rPr>
            </w:pPr>
          </w:p>
        </w:tc>
      </w:tr>
    </w:tbl>
    <w:p w:rsidR="004041DD" w:rsidRDefault="004041DD">
      <w:bookmarkStart w:id="0" w:name="_GoBack"/>
      <w:bookmarkEnd w:id="0"/>
    </w:p>
    <w:sectPr w:rsidR="00404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9C"/>
    <w:rsid w:val="00295A9C"/>
    <w:rsid w:val="00404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9765A-32F6-4BF8-A582-AA6F9025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9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95A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9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s249@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1561</Words>
  <Characters>8900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2016-02-08T08:38:00Z</dcterms:created>
  <dcterms:modified xsi:type="dcterms:W3CDTF">2016-02-08T08:40:00Z</dcterms:modified>
</cp:coreProperties>
</file>