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8A6897" w:rsidTr="008A6897">
        <w:trPr>
          <w:jc w:val="center"/>
        </w:trPr>
        <w:tc>
          <w:tcPr>
            <w:tcW w:w="9104" w:type="dxa"/>
            <w:tcMar>
              <w:top w:w="0" w:type="dxa"/>
              <w:left w:w="108" w:type="dxa"/>
              <w:bottom w:w="0" w:type="dxa"/>
              <w:right w:w="108" w:type="dxa"/>
            </w:tcMar>
          </w:tcPr>
          <w:p w:rsidR="008A6897" w:rsidRDefault="008A6897">
            <w:pPr>
              <w:rPr>
                <w:rFonts w:ascii="Verdana" w:hAnsi="Verdana"/>
                <w:color w:val="3B3838"/>
              </w:rPr>
            </w:pPr>
          </w:p>
          <w:p w:rsidR="008A6897" w:rsidRDefault="008A6897">
            <w:pPr>
              <w:rPr>
                <w:rFonts w:ascii="Verdana" w:hAnsi="Verdana"/>
                <w:color w:val="3B3838"/>
              </w:rPr>
            </w:pPr>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A689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6897" w:rsidRDefault="008A6897">
                  <w:pPr>
                    <w:spacing w:line="240" w:lineRule="exact"/>
                    <w:rPr>
                      <w:rFonts w:ascii="Arial" w:hAnsi="Arial" w:cs="Arial"/>
                      <w:b/>
                      <w:bCs/>
                      <w:sz w:val="16"/>
                      <w:szCs w:val="16"/>
                      <w:lang w:eastAsia="tr-TR"/>
                    </w:rPr>
                  </w:pPr>
                  <w:r>
                    <w:rPr>
                      <w:rFonts w:ascii="Arial" w:hAnsi="Arial" w:cs="Arial"/>
                      <w:sz w:val="16"/>
                      <w:szCs w:val="16"/>
                      <w:lang w:eastAsia="tr-TR"/>
                    </w:rPr>
                    <w:t>16 Ağustos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A6897" w:rsidRDefault="008A6897">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A6897" w:rsidRDefault="008A6897">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29447</w:t>
                  </w:r>
                  <w:proofErr w:type="gramEnd"/>
                </w:p>
              </w:tc>
            </w:tr>
            <w:tr w:rsidR="008A6897">
              <w:trPr>
                <w:trHeight w:val="480"/>
                <w:jc w:val="center"/>
              </w:trPr>
              <w:tc>
                <w:tcPr>
                  <w:tcW w:w="8789" w:type="dxa"/>
                  <w:gridSpan w:val="3"/>
                  <w:tcMar>
                    <w:top w:w="0" w:type="dxa"/>
                    <w:left w:w="108" w:type="dxa"/>
                    <w:bottom w:w="0" w:type="dxa"/>
                    <w:right w:w="108" w:type="dxa"/>
                  </w:tcMar>
                  <w:vAlign w:val="center"/>
                  <w:hideMark/>
                </w:tcPr>
                <w:p w:rsidR="008A6897" w:rsidRDefault="008A6897">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8A6897">
              <w:trPr>
                <w:trHeight w:val="480"/>
                <w:jc w:val="center"/>
              </w:trPr>
              <w:tc>
                <w:tcPr>
                  <w:tcW w:w="8789" w:type="dxa"/>
                  <w:gridSpan w:val="3"/>
                  <w:tcMar>
                    <w:top w:w="0" w:type="dxa"/>
                    <w:left w:w="108" w:type="dxa"/>
                    <w:bottom w:w="0" w:type="dxa"/>
                    <w:right w:w="108" w:type="dxa"/>
                  </w:tcMar>
                  <w:vAlign w:val="center"/>
                </w:tcPr>
                <w:p w:rsidR="008A6897" w:rsidRDefault="008A6897">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8A6897" w:rsidRDefault="008A6897">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8A6897" w:rsidRDefault="008A6897">
                  <w:pPr>
                    <w:spacing w:after="170"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2015/36)</w:t>
                  </w:r>
                </w:p>
                <w:p w:rsidR="008A6897" w:rsidRDefault="008A6897">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Yönetmelikten oluşan ithalatta haksız rekabetin önlenmesi hakkında mevzuat hükümleri çerçevesinde, 2016 yılının ilk yarısında süresi dolacak mevcut dampinge karşı önlemlerin ilanını kapsamaktadır.</w:t>
                  </w:r>
                </w:p>
                <w:p w:rsidR="008A6897" w:rsidRDefault="008A6897">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 xml:space="preserve">Yürürlük süresi sona erecek </w:t>
                  </w:r>
                  <w:proofErr w:type="gramStart"/>
                  <w:r>
                    <w:rPr>
                      <w:rFonts w:ascii="Times New Roman" w:hAnsi="Times New Roman" w:cs="Times New Roman"/>
                      <w:b/>
                      <w:bCs/>
                      <w:sz w:val="18"/>
                      <w:szCs w:val="18"/>
                      <w:lang w:eastAsia="tr-TR"/>
                    </w:rPr>
                    <w:t>dampinge</w:t>
                  </w:r>
                  <w:proofErr w:type="gramEnd"/>
                  <w:r>
                    <w:rPr>
                      <w:rFonts w:ascii="Times New Roman" w:hAnsi="Times New Roman" w:cs="Times New Roman"/>
                      <w:b/>
                      <w:bCs/>
                      <w:sz w:val="18"/>
                      <w:szCs w:val="18"/>
                      <w:lang w:eastAsia="tr-TR"/>
                    </w:rPr>
                    <w:t xml:space="preserve"> karşı önlemler</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Aşağıdaki tabloda yer alan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önlemlerin yürürlükte kalma süreleri, 3 üncü maddede belirtilen esaslar çerçevesinde bir nihai gözden geçirme soruşturması açılmaması halinde karşılarında belirtilen tarihlerde sona erecektir.</w:t>
                  </w:r>
                </w:p>
                <w:p w:rsidR="008A6897" w:rsidRDefault="008A6897">
                  <w:pPr>
                    <w:spacing w:line="240" w:lineRule="exact"/>
                    <w:ind w:firstLine="566"/>
                    <w:jc w:val="both"/>
                    <w:rPr>
                      <w:rFonts w:ascii="Times New Roman" w:hAnsi="Times New Roman" w:cs="Times New Roman"/>
                      <w:sz w:val="18"/>
                      <w:szCs w:val="18"/>
                      <w:lang w:eastAsia="tr-TR"/>
                    </w:rPr>
                  </w:pPr>
                </w:p>
                <w:tbl>
                  <w:tblPr>
                    <w:tblW w:w="0" w:type="auto"/>
                    <w:jc w:val="right"/>
                    <w:tblCellMar>
                      <w:left w:w="0" w:type="dxa"/>
                      <w:right w:w="0" w:type="dxa"/>
                    </w:tblCellMar>
                    <w:tblLook w:val="04A0" w:firstRow="1" w:lastRow="0" w:firstColumn="1" w:lastColumn="0" w:noHBand="0" w:noVBand="1"/>
                  </w:tblPr>
                  <w:tblGrid>
                    <w:gridCol w:w="1821"/>
                    <w:gridCol w:w="1421"/>
                    <w:gridCol w:w="1264"/>
                    <w:gridCol w:w="1890"/>
                    <w:gridCol w:w="808"/>
                    <w:gridCol w:w="1223"/>
                    <w:gridCol w:w="146"/>
                  </w:tblGrid>
                  <w:tr w:rsidR="008A6897">
                    <w:trPr>
                      <w:trHeight w:val="945"/>
                      <w:jc w:val="right"/>
                    </w:trPr>
                    <w:tc>
                      <w:tcPr>
                        <w:tcW w:w="182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b/>
                            <w:bCs/>
                            <w:color w:val="000000"/>
                            <w:sz w:val="18"/>
                            <w:szCs w:val="18"/>
                            <w:lang w:eastAsia="tr-TR"/>
                          </w:rPr>
                        </w:pPr>
                        <w:proofErr w:type="gramStart"/>
                        <w:r>
                          <w:rPr>
                            <w:rFonts w:ascii="Times New Roman" w:hAnsi="Times New Roman" w:cs="Times New Roman"/>
                            <w:b/>
                            <w:bCs/>
                            <w:color w:val="000000"/>
                            <w:sz w:val="18"/>
                            <w:szCs w:val="18"/>
                            <w:lang w:eastAsia="tr-TR"/>
                          </w:rPr>
                          <w:t>G.T.İ</w:t>
                        </w:r>
                        <w:proofErr w:type="gramEnd"/>
                        <w:r>
                          <w:rPr>
                            <w:rFonts w:ascii="Times New Roman" w:hAnsi="Times New Roman" w:cs="Times New Roman"/>
                            <w:b/>
                            <w:bCs/>
                            <w:color w:val="000000"/>
                            <w:sz w:val="18"/>
                            <w:szCs w:val="18"/>
                            <w:lang w:eastAsia="tr-TR"/>
                          </w:rPr>
                          <w:t>.P.</w:t>
                        </w:r>
                      </w:p>
                    </w:tc>
                    <w:tc>
                      <w:tcPr>
                        <w:tcW w:w="153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Ürün</w:t>
                        </w:r>
                      </w:p>
                    </w:tc>
                    <w:tc>
                      <w:tcPr>
                        <w:tcW w:w="135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Menşe veya İhracatçı Ülke</w:t>
                        </w:r>
                      </w:p>
                    </w:tc>
                    <w:tc>
                      <w:tcPr>
                        <w:tcW w:w="189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Önlemin Yayımlandığı</w:t>
                        </w:r>
                      </w:p>
                      <w:p w:rsidR="008A6897" w:rsidRDefault="008A6897">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Resmî Gazete Tarih ve Sayısı</w:t>
                        </w:r>
                      </w:p>
                    </w:tc>
                    <w:tc>
                      <w:tcPr>
                        <w:tcW w:w="80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Tebliğ No</w:t>
                        </w:r>
                      </w:p>
                    </w:tc>
                    <w:tc>
                      <w:tcPr>
                        <w:tcW w:w="122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Önlemin Bitiş Tarihi</w:t>
                        </w: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b/>
                            <w:bCs/>
                            <w:color w:val="000000"/>
                            <w:sz w:val="18"/>
                            <w:szCs w:val="18"/>
                            <w:lang w:eastAsia="tr-TR"/>
                          </w:rPr>
                        </w:pPr>
                      </w:p>
                    </w:tc>
                  </w:tr>
                  <w:tr w:rsidR="008A6897">
                    <w:trPr>
                      <w:trHeight w:hRule="exact" w:val="619"/>
                      <w:jc w:val="right"/>
                    </w:trPr>
                    <w:tc>
                      <w:tcPr>
                        <w:tcW w:w="18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bookmarkStart w:id="0" w:name="OLE_LINK2"/>
                        <w:bookmarkStart w:id="1" w:name="RANGE!B6"/>
                        <w:bookmarkEnd w:id="0"/>
                        <w:bookmarkEnd w:id="1"/>
                        <w:r>
                          <w:rPr>
                            <w:rFonts w:ascii="Times New Roman" w:hAnsi="Times New Roman" w:cs="Times New Roman"/>
                            <w:color w:val="000000"/>
                            <w:sz w:val="18"/>
                            <w:szCs w:val="18"/>
                            <w:lang w:eastAsia="tr-TR"/>
                          </w:rPr>
                          <w:t>2905.42.00.00.00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proofErr w:type="spellStart"/>
                        <w:r>
                          <w:rPr>
                            <w:rFonts w:ascii="Times New Roman" w:hAnsi="Times New Roman" w:cs="Times New Roman"/>
                            <w:color w:val="000000"/>
                            <w:sz w:val="18"/>
                            <w:szCs w:val="18"/>
                            <w:lang w:eastAsia="tr-TR"/>
                          </w:rPr>
                          <w:t>Pentaeritritol</w:t>
                        </w:r>
                        <w:proofErr w:type="spellEnd"/>
                        <w:r>
                          <w:rPr>
                            <w:rFonts w:ascii="Times New Roman" w:hAnsi="Times New Roman" w:cs="Times New Roman"/>
                            <w:color w:val="000000"/>
                            <w:sz w:val="18"/>
                            <w:szCs w:val="18"/>
                            <w:lang w:eastAsia="tr-TR"/>
                          </w:rPr>
                          <w:t xml:space="preserve"> (</w:t>
                        </w:r>
                        <w:proofErr w:type="spellStart"/>
                        <w:r>
                          <w:rPr>
                            <w:rFonts w:ascii="Times New Roman" w:hAnsi="Times New Roman" w:cs="Times New Roman"/>
                            <w:color w:val="000000"/>
                            <w:sz w:val="18"/>
                            <w:szCs w:val="18"/>
                            <w:lang w:eastAsia="tr-TR"/>
                          </w:rPr>
                          <w:t>Pentaeritrit</w:t>
                        </w:r>
                        <w:proofErr w:type="spellEnd"/>
                        <w:r>
                          <w:rPr>
                            <w:rFonts w:ascii="Times New Roman" w:hAnsi="Times New Roman" w:cs="Times New Roman"/>
                            <w:color w:val="000000"/>
                            <w:sz w:val="18"/>
                            <w:szCs w:val="18"/>
                            <w:lang w:eastAsia="tr-TR"/>
                          </w:rPr>
                          <w:t>)</w:t>
                        </w:r>
                      </w:p>
                    </w:tc>
                    <w:tc>
                      <w:tcPr>
                        <w:tcW w:w="135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Çin Halk Cumhuriyeti</w:t>
                        </w:r>
                      </w:p>
                    </w:tc>
                    <w:tc>
                      <w:tcPr>
                        <w:tcW w:w="189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03.05.2011/27923</w:t>
                        </w:r>
                      </w:p>
                    </w:tc>
                    <w:tc>
                      <w:tcPr>
                        <w:tcW w:w="808"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2011/6</w:t>
                        </w:r>
                      </w:p>
                    </w:tc>
                    <w:tc>
                      <w:tcPr>
                        <w:tcW w:w="1223"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03.05.2016</w:t>
                        </w: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hRule="exact" w:val="841"/>
                      <w:jc w:val="right"/>
                    </w:trPr>
                    <w:tc>
                      <w:tcPr>
                        <w:tcW w:w="182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7315.20.00.00.00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Patinaj zincirleri</w:t>
                        </w:r>
                      </w:p>
                    </w:tc>
                    <w:tc>
                      <w:tcPr>
                        <w:tcW w:w="135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Çin Halk Cumhuriyeti</w:t>
                        </w:r>
                      </w:p>
                    </w:tc>
                    <w:tc>
                      <w:tcPr>
                        <w:tcW w:w="189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03.05.2011/27923</w:t>
                        </w:r>
                      </w:p>
                    </w:tc>
                    <w:tc>
                      <w:tcPr>
                        <w:tcW w:w="808"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2011/7</w:t>
                        </w:r>
                      </w:p>
                    </w:tc>
                    <w:tc>
                      <w:tcPr>
                        <w:tcW w:w="122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03.05.2016</w:t>
                        </w: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630"/>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4011.20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Otobüs ve kamyonlarda kullanılanlar (*)</w:t>
                        </w:r>
                      </w:p>
                    </w:tc>
                    <w:tc>
                      <w:tcPr>
                        <w:tcW w:w="13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Çin Halk Cumhuriyeti</w:t>
                        </w:r>
                      </w:p>
                    </w:tc>
                    <w:tc>
                      <w:tcPr>
                        <w:tcW w:w="1890" w:type="dxa"/>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21.06.2011/27971</w:t>
                        </w:r>
                      </w:p>
                    </w:tc>
                    <w:tc>
                      <w:tcPr>
                        <w:tcW w:w="808" w:type="dxa"/>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2011/8</w:t>
                        </w:r>
                      </w:p>
                    </w:tc>
                    <w:tc>
                      <w:tcPr>
                        <w:tcW w:w="1223" w:type="dxa"/>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21.06.2016</w:t>
                        </w: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945"/>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4011.61.00.00.00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Tarım ve orman taşıtları ve makinelerinde kullanılan türde olanlar</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1575"/>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4011.62.00.00.00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 xml:space="preserve">Jant ölçüsü 61 </w:t>
                        </w:r>
                        <w:proofErr w:type="spellStart"/>
                        <w:r>
                          <w:rPr>
                            <w:rFonts w:ascii="Times New Roman" w:hAnsi="Times New Roman" w:cs="Times New Roman"/>
                            <w:color w:val="000000"/>
                            <w:sz w:val="18"/>
                            <w:szCs w:val="18"/>
                            <w:lang w:eastAsia="tr-TR"/>
                          </w:rPr>
                          <w:t>cm.yi</w:t>
                        </w:r>
                        <w:proofErr w:type="spellEnd"/>
                        <w:r>
                          <w:rPr>
                            <w:rFonts w:ascii="Times New Roman" w:hAnsi="Times New Roman" w:cs="Times New Roman"/>
                            <w:color w:val="000000"/>
                            <w:sz w:val="18"/>
                            <w:szCs w:val="18"/>
                            <w:lang w:eastAsia="tr-TR"/>
                          </w:rPr>
                          <w:t xml:space="preserve"> geçmeyen, yapı veya sanayi </w:t>
                        </w:r>
                        <w:proofErr w:type="spellStart"/>
                        <w:r>
                          <w:rPr>
                            <w:rFonts w:ascii="Times New Roman" w:hAnsi="Times New Roman" w:cs="Times New Roman"/>
                            <w:color w:val="000000"/>
                            <w:sz w:val="18"/>
                            <w:szCs w:val="18"/>
                            <w:lang w:eastAsia="tr-TR"/>
                          </w:rPr>
                          <w:t>elleçleme</w:t>
                        </w:r>
                        <w:proofErr w:type="spellEnd"/>
                        <w:r>
                          <w:rPr>
                            <w:rFonts w:ascii="Times New Roman" w:hAnsi="Times New Roman" w:cs="Times New Roman"/>
                            <w:color w:val="000000"/>
                            <w:sz w:val="18"/>
                            <w:szCs w:val="18"/>
                            <w:lang w:eastAsia="tr-TR"/>
                          </w:rPr>
                          <w:t xml:space="preserve"> taşıtları ve makinelerinde kullanılan türde olanlar</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1260"/>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4011.63.00.00.00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 xml:space="preserve">Jant ölçüsü 61 </w:t>
                        </w:r>
                        <w:proofErr w:type="spellStart"/>
                        <w:r>
                          <w:rPr>
                            <w:rFonts w:ascii="Times New Roman" w:hAnsi="Times New Roman" w:cs="Times New Roman"/>
                            <w:color w:val="000000"/>
                            <w:sz w:val="18"/>
                            <w:szCs w:val="18"/>
                            <w:lang w:eastAsia="tr-TR"/>
                          </w:rPr>
                          <w:t>cm.yi</w:t>
                        </w:r>
                        <w:proofErr w:type="spellEnd"/>
                        <w:r>
                          <w:rPr>
                            <w:rFonts w:ascii="Times New Roman" w:hAnsi="Times New Roman" w:cs="Times New Roman"/>
                            <w:color w:val="000000"/>
                            <w:sz w:val="18"/>
                            <w:szCs w:val="18"/>
                            <w:lang w:eastAsia="tr-TR"/>
                          </w:rPr>
                          <w:t xml:space="preserve"> geçen, yapı veya sanayi </w:t>
                        </w:r>
                        <w:proofErr w:type="spellStart"/>
                        <w:r>
                          <w:rPr>
                            <w:rFonts w:ascii="Times New Roman" w:hAnsi="Times New Roman" w:cs="Times New Roman"/>
                            <w:color w:val="000000"/>
                            <w:sz w:val="18"/>
                            <w:szCs w:val="18"/>
                            <w:lang w:eastAsia="tr-TR"/>
                          </w:rPr>
                          <w:t>elleçleme</w:t>
                        </w:r>
                        <w:proofErr w:type="spellEnd"/>
                        <w:r>
                          <w:rPr>
                            <w:rFonts w:ascii="Times New Roman" w:hAnsi="Times New Roman" w:cs="Times New Roman"/>
                            <w:color w:val="000000"/>
                            <w:sz w:val="18"/>
                            <w:szCs w:val="18"/>
                            <w:lang w:eastAsia="tr-TR"/>
                          </w:rPr>
                          <w:t xml:space="preserve"> taşıtları ve makinelerinde kullanılan türde olanlar</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315"/>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4011.69.00.00.00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Diğerleri</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945"/>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lastRenderedPageBreak/>
                          <w:t>4011.92.00.00.00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Tarım ve orman taşıtları ve makinelerinde kullanılan türde olanlar</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1575"/>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4011.93.00.00.00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 xml:space="preserve">Jant ölçüsü 61 </w:t>
                        </w:r>
                        <w:proofErr w:type="spellStart"/>
                        <w:r>
                          <w:rPr>
                            <w:rFonts w:ascii="Times New Roman" w:hAnsi="Times New Roman" w:cs="Times New Roman"/>
                            <w:color w:val="000000"/>
                            <w:sz w:val="18"/>
                            <w:szCs w:val="18"/>
                            <w:lang w:eastAsia="tr-TR"/>
                          </w:rPr>
                          <w:t>cm.yi</w:t>
                        </w:r>
                        <w:proofErr w:type="spellEnd"/>
                        <w:r>
                          <w:rPr>
                            <w:rFonts w:ascii="Times New Roman" w:hAnsi="Times New Roman" w:cs="Times New Roman"/>
                            <w:color w:val="000000"/>
                            <w:sz w:val="18"/>
                            <w:szCs w:val="18"/>
                            <w:lang w:eastAsia="tr-TR"/>
                          </w:rPr>
                          <w:t xml:space="preserve"> geçmeyen, yapı veya sanayi </w:t>
                        </w:r>
                        <w:proofErr w:type="spellStart"/>
                        <w:r>
                          <w:rPr>
                            <w:rFonts w:ascii="Times New Roman" w:hAnsi="Times New Roman" w:cs="Times New Roman"/>
                            <w:color w:val="000000"/>
                            <w:sz w:val="18"/>
                            <w:szCs w:val="18"/>
                            <w:lang w:eastAsia="tr-TR"/>
                          </w:rPr>
                          <w:t>elleçleme</w:t>
                        </w:r>
                        <w:proofErr w:type="spellEnd"/>
                        <w:r>
                          <w:rPr>
                            <w:rFonts w:ascii="Times New Roman" w:hAnsi="Times New Roman" w:cs="Times New Roman"/>
                            <w:color w:val="000000"/>
                            <w:sz w:val="18"/>
                            <w:szCs w:val="18"/>
                            <w:lang w:eastAsia="tr-TR"/>
                          </w:rPr>
                          <w:t xml:space="preserve"> taşıtları ve makinelerinde kullanılan türde olanlar</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1260"/>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4011.94.00.00.00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 xml:space="preserve">Jant ölçüsü 61 </w:t>
                        </w:r>
                        <w:proofErr w:type="spellStart"/>
                        <w:r>
                          <w:rPr>
                            <w:rFonts w:ascii="Times New Roman" w:hAnsi="Times New Roman" w:cs="Times New Roman"/>
                            <w:color w:val="000000"/>
                            <w:sz w:val="18"/>
                            <w:szCs w:val="18"/>
                            <w:lang w:eastAsia="tr-TR"/>
                          </w:rPr>
                          <w:t>cm.yi</w:t>
                        </w:r>
                        <w:proofErr w:type="spellEnd"/>
                        <w:r>
                          <w:rPr>
                            <w:rFonts w:ascii="Times New Roman" w:hAnsi="Times New Roman" w:cs="Times New Roman"/>
                            <w:color w:val="000000"/>
                            <w:sz w:val="18"/>
                            <w:szCs w:val="18"/>
                            <w:lang w:eastAsia="tr-TR"/>
                          </w:rPr>
                          <w:t xml:space="preserve"> geçen, yapı veya sanayi </w:t>
                        </w:r>
                        <w:proofErr w:type="spellStart"/>
                        <w:r>
                          <w:rPr>
                            <w:rFonts w:ascii="Times New Roman" w:hAnsi="Times New Roman" w:cs="Times New Roman"/>
                            <w:color w:val="000000"/>
                            <w:sz w:val="18"/>
                            <w:szCs w:val="18"/>
                            <w:lang w:eastAsia="tr-TR"/>
                          </w:rPr>
                          <w:t>elleçleme</w:t>
                        </w:r>
                        <w:proofErr w:type="spellEnd"/>
                        <w:r>
                          <w:rPr>
                            <w:rFonts w:ascii="Times New Roman" w:hAnsi="Times New Roman" w:cs="Times New Roman"/>
                            <w:color w:val="000000"/>
                            <w:sz w:val="18"/>
                            <w:szCs w:val="18"/>
                            <w:lang w:eastAsia="tr-TR"/>
                          </w:rPr>
                          <w:t xml:space="preserve"> taşıtları ve makinelerinde kullanılan türde olanlar</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315"/>
                      <w:jc w:val="right"/>
                    </w:trPr>
                    <w:tc>
                      <w:tcPr>
                        <w:tcW w:w="1821"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4011.99.00.00.00</w:t>
                        </w:r>
                      </w:p>
                    </w:tc>
                    <w:tc>
                      <w:tcPr>
                        <w:tcW w:w="153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A6897" w:rsidRDefault="008A6897">
                        <w:pPr>
                          <w:spacing w:line="240" w:lineRule="exact"/>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Diğerleri</w:t>
                        </w: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0" w:type="auto"/>
                        <w:vMerge/>
                        <w:tcBorders>
                          <w:top w:val="nil"/>
                          <w:left w:val="nil"/>
                          <w:bottom w:val="single" w:sz="8" w:space="0" w:color="000000"/>
                          <w:right w:val="single" w:sz="8" w:space="0" w:color="000000"/>
                        </w:tcBorders>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315"/>
                      <w:jc w:val="right"/>
                    </w:trPr>
                    <w:tc>
                      <w:tcPr>
                        <w:tcW w:w="8630" w:type="dxa"/>
                        <w:gridSpan w:val="6"/>
                        <w:vMerge w:val="restart"/>
                        <w:tcMar>
                          <w:top w:w="0" w:type="dxa"/>
                          <w:left w:w="70" w:type="dxa"/>
                          <w:bottom w:w="0" w:type="dxa"/>
                          <w:right w:w="70" w:type="dxa"/>
                        </w:tcMar>
                        <w:hideMark/>
                      </w:tcPr>
                      <w:p w:rsidR="008A6897" w:rsidRDefault="008A6897">
                        <w:pPr>
                          <w:spacing w:line="240" w:lineRule="exact"/>
                          <w:jc w:val="both"/>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 xml:space="preserve">(*) Soruşturma açılış tarihi itibariyle yürürlükte olan 21/12/2009 tarihli ve 2009/15717 sayılı Bakanlar Kurulu Kararı ile yürürlüğe konulan İstatistik Pozisyonlarına Bölünmüş Türk Gümrük Tarife Cetveli uyarınca 4011.10.00.90.14 </w:t>
                        </w:r>
                        <w:proofErr w:type="spellStart"/>
                        <w:proofErr w:type="gramStart"/>
                        <w:r>
                          <w:rPr>
                            <w:rFonts w:ascii="Times New Roman" w:hAnsi="Times New Roman" w:cs="Times New Roman"/>
                            <w:color w:val="000000"/>
                            <w:sz w:val="18"/>
                            <w:szCs w:val="18"/>
                            <w:lang w:eastAsia="tr-TR"/>
                          </w:rPr>
                          <w:t>G.T.İ</w:t>
                        </w:r>
                        <w:proofErr w:type="gramEnd"/>
                        <w:r>
                          <w:rPr>
                            <w:rFonts w:ascii="Times New Roman" w:hAnsi="Times New Roman" w:cs="Times New Roman"/>
                            <w:color w:val="000000"/>
                            <w:sz w:val="18"/>
                            <w:szCs w:val="18"/>
                            <w:lang w:eastAsia="tr-TR"/>
                          </w:rPr>
                          <w:t>.P.’inde</w:t>
                        </w:r>
                        <w:proofErr w:type="spellEnd"/>
                        <w:r>
                          <w:rPr>
                            <w:rFonts w:ascii="Times New Roman" w:hAnsi="Times New Roman" w:cs="Times New Roman"/>
                            <w:color w:val="000000"/>
                            <w:sz w:val="18"/>
                            <w:szCs w:val="18"/>
                            <w:lang w:eastAsia="tr-TR"/>
                          </w:rPr>
                          <w:t xml:space="preserve"> yer alan “Minibüs, kamyonet ve hafif kamyon </w:t>
                        </w:r>
                        <w:proofErr w:type="spellStart"/>
                        <w:r>
                          <w:rPr>
                            <w:rFonts w:ascii="Times New Roman" w:hAnsi="Times New Roman" w:cs="Times New Roman"/>
                            <w:color w:val="000000"/>
                            <w:sz w:val="18"/>
                            <w:szCs w:val="18"/>
                            <w:lang w:eastAsia="tr-TR"/>
                          </w:rPr>
                          <w:t>radyal</w:t>
                        </w:r>
                        <w:proofErr w:type="spellEnd"/>
                        <w:r>
                          <w:rPr>
                            <w:rFonts w:ascii="Times New Roman" w:hAnsi="Times New Roman" w:cs="Times New Roman"/>
                            <w:color w:val="000000"/>
                            <w:sz w:val="18"/>
                            <w:szCs w:val="18"/>
                            <w:lang w:eastAsia="tr-TR"/>
                          </w:rPr>
                          <w:t xml:space="preserve"> dış lastikleri (kolonlar dahil)” ve 4011.10.00.90.15 </w:t>
                        </w:r>
                        <w:proofErr w:type="spellStart"/>
                        <w:r>
                          <w:rPr>
                            <w:rFonts w:ascii="Times New Roman" w:hAnsi="Times New Roman" w:cs="Times New Roman"/>
                            <w:color w:val="000000"/>
                            <w:sz w:val="18"/>
                            <w:szCs w:val="18"/>
                            <w:lang w:eastAsia="tr-TR"/>
                          </w:rPr>
                          <w:t>G.T.İ.P.’inde</w:t>
                        </w:r>
                        <w:proofErr w:type="spellEnd"/>
                        <w:r>
                          <w:rPr>
                            <w:rFonts w:ascii="Times New Roman" w:hAnsi="Times New Roman" w:cs="Times New Roman"/>
                            <w:color w:val="000000"/>
                            <w:sz w:val="18"/>
                            <w:szCs w:val="18"/>
                            <w:lang w:eastAsia="tr-TR"/>
                          </w:rPr>
                          <w:t xml:space="preserve"> yer alan “Minibüs, kamyonet ve hafif kamyon konvansiyonel (</w:t>
                        </w:r>
                        <w:proofErr w:type="spellStart"/>
                        <w:r>
                          <w:rPr>
                            <w:rFonts w:ascii="Times New Roman" w:hAnsi="Times New Roman" w:cs="Times New Roman"/>
                            <w:color w:val="000000"/>
                            <w:sz w:val="18"/>
                            <w:szCs w:val="18"/>
                            <w:lang w:eastAsia="tr-TR"/>
                          </w:rPr>
                          <w:t>cropssply</w:t>
                        </w:r>
                        <w:proofErr w:type="spellEnd"/>
                        <w:r>
                          <w:rPr>
                            <w:rFonts w:ascii="Times New Roman" w:hAnsi="Times New Roman" w:cs="Times New Roman"/>
                            <w:color w:val="000000"/>
                            <w:sz w:val="18"/>
                            <w:szCs w:val="18"/>
                            <w:lang w:eastAsia="tr-TR"/>
                          </w:rPr>
                          <w:t>) dış lastikleri (kolonlar dahil)” hariç olmak üzere.</w:t>
                        </w:r>
                      </w:p>
                    </w:tc>
                    <w:tc>
                      <w:tcPr>
                        <w:tcW w:w="6" w:type="dxa"/>
                        <w:tcMar>
                          <w:top w:w="0" w:type="dxa"/>
                          <w:left w:w="70" w:type="dxa"/>
                          <w:bottom w:w="0" w:type="dxa"/>
                          <w:right w:w="70" w:type="dxa"/>
                        </w:tcMar>
                        <w:vAlign w:val="center"/>
                        <w:hideMark/>
                      </w:tcPr>
                      <w:p w:rsidR="008A6897" w:rsidRDefault="008A6897">
                        <w:pPr>
                          <w:rPr>
                            <w:rFonts w:ascii="Times New Roman" w:hAnsi="Times New Roman" w:cs="Times New Roman"/>
                            <w:color w:val="000000"/>
                            <w:sz w:val="18"/>
                            <w:szCs w:val="18"/>
                            <w:lang w:eastAsia="tr-TR"/>
                          </w:rPr>
                        </w:pPr>
                      </w:p>
                    </w:tc>
                  </w:tr>
                  <w:tr w:rsidR="008A6897">
                    <w:trPr>
                      <w:trHeight w:val="435"/>
                      <w:jc w:val="right"/>
                    </w:trPr>
                    <w:tc>
                      <w:tcPr>
                        <w:tcW w:w="0" w:type="auto"/>
                        <w:gridSpan w:val="6"/>
                        <w:vMerge/>
                        <w:vAlign w:val="center"/>
                        <w:hideMark/>
                      </w:tcPr>
                      <w:p w:rsidR="008A6897" w:rsidRDefault="008A6897">
                        <w:pPr>
                          <w:rPr>
                            <w:rFonts w:ascii="Times New Roman" w:hAnsi="Times New Roman" w:cs="Times New Roman"/>
                            <w:color w:val="000000"/>
                            <w:sz w:val="18"/>
                            <w:szCs w:val="18"/>
                            <w:lang w:eastAsia="tr-TR"/>
                          </w:rPr>
                        </w:pPr>
                      </w:p>
                    </w:tc>
                    <w:tc>
                      <w:tcPr>
                        <w:tcW w:w="6" w:type="dxa"/>
                        <w:tcMar>
                          <w:top w:w="0" w:type="dxa"/>
                          <w:left w:w="70" w:type="dxa"/>
                          <w:bottom w:w="0" w:type="dxa"/>
                          <w:right w:w="70" w:type="dxa"/>
                        </w:tcMar>
                        <w:vAlign w:val="center"/>
                        <w:hideMark/>
                      </w:tcPr>
                      <w:p w:rsidR="008A6897" w:rsidRDefault="008A6897">
                        <w:pPr>
                          <w:rPr>
                            <w:rFonts w:ascii="Times New Roman" w:eastAsia="Times New Roman" w:hAnsi="Times New Roman" w:cs="Times New Roman"/>
                            <w:sz w:val="20"/>
                            <w:szCs w:val="20"/>
                            <w:lang w:eastAsia="tr-TR"/>
                          </w:rPr>
                        </w:pPr>
                      </w:p>
                    </w:tc>
                  </w:tr>
                </w:tbl>
                <w:p w:rsidR="008A6897" w:rsidRDefault="008A6897">
                  <w:pPr>
                    <w:spacing w:line="240" w:lineRule="exact"/>
                    <w:jc w:val="center"/>
                    <w:rPr>
                      <w:rFonts w:ascii="Times New Roman" w:hAnsi="Times New Roman" w:cs="Times New Roman"/>
                      <w:sz w:val="18"/>
                      <w:szCs w:val="18"/>
                      <w:lang w:eastAsia="tr-TR"/>
                    </w:rPr>
                  </w:pPr>
                </w:p>
                <w:p w:rsidR="008A6897" w:rsidRDefault="008A6897">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Nihai gözden geçirme başvurusu ve işlemler</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İthalatta Haksız Rekabetin Önlenmesi Hakkında Yönetmeliğin 35 inci maddesi gereğince, 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maddede belirtilen önlemlerin yürürlük sürelerinin bitiminden önce tabloda yer alan maddelerin yerli üreticilerinin veya yerli üretim dalı adına hareket ettiğini tevsik eden gerçek veya tüzel kişi ya da kuruluşların, ilgili üründeki önlemin sona ermesinin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devam etmesine veya yeniden meydana gelmesine yol açacağı iddiasıyla bir nihai gözden geçirme soruşturması açılmasını talep etme hakları mevcuttur. İlgili yerli üreticilerin veya yerli üretim dalı adına hareket ettiğini tevsik eden gerçek veya tüzel kişi ya da kuruluşların başvurularını yeterli delillerle desteklemeleri esastır.</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Yeterli deliller ile desteklenmiş yazılı başvuruların, ilgili önlemin sona erme tarihinden en geç üç ay önce;</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T.C. Ekonomi Bakanlığı</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Damping ve Sübvansiyon Araştırma Dairesi</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İnönü Bulvarı, 06510 Emek/ANKARA,</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0312 204 86 33</w:t>
                  </w:r>
                </w:p>
                <w:p w:rsidR="008A6897" w:rsidRDefault="008A6897">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adresine</w:t>
                  </w:r>
                  <w:proofErr w:type="gramEnd"/>
                  <w:r>
                    <w:rPr>
                      <w:rFonts w:ascii="Times New Roman" w:hAnsi="Times New Roman" w:cs="Times New Roman"/>
                      <w:sz w:val="18"/>
                      <w:szCs w:val="18"/>
                      <w:lang w:eastAsia="tr-TR"/>
                    </w:rPr>
                    <w:t xml:space="preserve"> ulaştırılması gerekmektedir.</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Başvurunun, ilgili mevzuat çerçevesinde geçerli görülmesi halinde “nihai gözden geçirme soruşturması” başlatılır.</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Mevcut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xml:space="preserve"> karşı önlem, nihai gözden geçirme soruşturması sonuçlanıncaya kadar yürürlükte kalmaya devam eder.</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Soruşturma sonucunda, önlemin sona ermesinin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devam etmesine veya yeniden meydana gelmesine yol açmasının muhtemel olduğunun tespit edilmesi halinde, mevcut dampinge karşı önlemin miktar veya oranının muhafaza edilerek veya değiştirilerek uygulanmasına devam edilir. Öte yandan, önlemin sona ermesinin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xml:space="preserve"> ve zararın devam etmesine veya yeniden meydana gelmesine yol açmasının muhtemel olmadığının tespit edilmesi halinde, mevcut dampinge karşı önlem yürürlükten kaldırılır.</w:t>
                  </w:r>
                </w:p>
                <w:p w:rsidR="008A6897" w:rsidRDefault="008A6897">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Bu Tebliğ yayımı tarihinde yürürlüğe girer.</w:t>
                  </w:r>
                </w:p>
                <w:p w:rsidR="008A6897" w:rsidRDefault="008A6897">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8A6897" w:rsidRDefault="008A6897">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Bu Tebliğ hükümlerini Ekonomi Bakanı yürütür.</w:t>
                  </w:r>
                </w:p>
                <w:p w:rsidR="008A6897" w:rsidRDefault="008A6897">
                  <w:pPr>
                    <w:spacing w:before="100" w:beforeAutospacing="1" w:after="100" w:afterAutospacing="1"/>
                    <w:jc w:val="center"/>
                    <w:rPr>
                      <w:rFonts w:ascii="Arial" w:hAnsi="Arial" w:cs="Arial"/>
                      <w:b/>
                      <w:bCs/>
                      <w:color w:val="000080"/>
                      <w:sz w:val="18"/>
                      <w:szCs w:val="18"/>
                      <w:lang w:eastAsia="tr-TR"/>
                    </w:rPr>
                  </w:pPr>
                </w:p>
              </w:tc>
            </w:tr>
          </w:tbl>
          <w:p w:rsidR="008A6897" w:rsidRDefault="008A6897">
            <w:pPr>
              <w:jc w:val="center"/>
              <w:rPr>
                <w:rFonts w:ascii="Times New Roman" w:eastAsia="Times New Roman" w:hAnsi="Times New Roman" w:cs="Times New Roman"/>
                <w:sz w:val="24"/>
                <w:szCs w:val="24"/>
                <w:lang w:eastAsia="tr-TR"/>
              </w:rPr>
            </w:pPr>
          </w:p>
        </w:tc>
      </w:tr>
    </w:tbl>
    <w:p w:rsidR="008A6897" w:rsidRDefault="008A6897" w:rsidP="008A6897">
      <w:pPr>
        <w:jc w:val="center"/>
        <w:rPr>
          <w:rFonts w:ascii="Times New Roman" w:hAnsi="Times New Roman" w:cs="Times New Roman"/>
          <w:sz w:val="24"/>
          <w:szCs w:val="24"/>
          <w:lang w:eastAsia="tr-TR"/>
        </w:rPr>
      </w:pPr>
    </w:p>
    <w:p w:rsidR="008B4DD0" w:rsidRDefault="008B4DD0">
      <w:bookmarkStart w:id="2" w:name="_GoBack"/>
      <w:bookmarkEnd w:id="2"/>
    </w:p>
    <w:sectPr w:rsidR="008B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97"/>
    <w:rsid w:val="008A6897"/>
    <w:rsid w:val="008B4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638CC-EFED-408F-8706-00D7B624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97"/>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2015-08-17T06:59:00Z</dcterms:created>
  <dcterms:modified xsi:type="dcterms:W3CDTF">2015-08-17T07:01:00Z</dcterms:modified>
</cp:coreProperties>
</file>