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AF5A50" w:rsidTr="00AF5A5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F5A5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5A50" w:rsidRDefault="00AF5A50">
                  <w:pPr>
                    <w:spacing w:line="240" w:lineRule="exact"/>
                    <w:rPr>
                      <w:rFonts w:ascii="Arial" w:hAnsi="Arial" w:cs="Arial"/>
                      <w:b/>
                      <w:bCs/>
                      <w:color w:val="auto"/>
                      <w:sz w:val="16"/>
                      <w:szCs w:val="16"/>
                      <w:lang w:eastAsia="tr-TR"/>
                    </w:rPr>
                  </w:pPr>
                  <w:r>
                    <w:rPr>
                      <w:rFonts w:ascii="Arial" w:hAnsi="Arial" w:cs="Arial"/>
                      <w:color w:val="auto"/>
                      <w:sz w:val="16"/>
                      <w:szCs w:val="16"/>
                      <w:lang w:eastAsia="tr-TR"/>
                    </w:rPr>
                    <w:t>27 Mayıs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5A50" w:rsidRDefault="00AF5A50">
                  <w:pPr>
                    <w:spacing w:line="240" w:lineRule="exact"/>
                    <w:jc w:val="center"/>
                    <w:rPr>
                      <w:rFonts w:ascii="Palatino Linotype" w:hAnsi="Palatino Linotype"/>
                      <w:b/>
                      <w:bCs/>
                      <w:color w:val="800080"/>
                      <w:lang w:eastAsia="tr-TR"/>
                    </w:rPr>
                  </w:pPr>
                  <w:r>
                    <w:rPr>
                      <w:rFonts w:ascii="Palatino Linotype"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F5A50" w:rsidRDefault="00AF5A50">
                  <w:pPr>
                    <w:spacing w:before="100" w:beforeAutospacing="1" w:after="100" w:afterAutospacing="1"/>
                    <w:jc w:val="right"/>
                    <w:rPr>
                      <w:rFonts w:ascii="Arial" w:hAnsi="Arial" w:cs="Arial"/>
                      <w:color w:val="auto"/>
                      <w:sz w:val="16"/>
                      <w:szCs w:val="16"/>
                      <w:lang w:eastAsia="tr-TR"/>
                    </w:rPr>
                  </w:pPr>
                  <w:proofErr w:type="gramStart"/>
                  <w:r>
                    <w:rPr>
                      <w:rFonts w:ascii="Arial" w:hAnsi="Arial" w:cs="Arial"/>
                      <w:color w:val="auto"/>
                      <w:sz w:val="16"/>
                      <w:szCs w:val="16"/>
                      <w:lang w:eastAsia="tr-TR"/>
                    </w:rPr>
                    <w:t>Sayı : 29368</w:t>
                  </w:r>
                  <w:proofErr w:type="gramEnd"/>
                </w:p>
              </w:tc>
            </w:tr>
            <w:tr w:rsidR="00AF5A50">
              <w:trPr>
                <w:trHeight w:val="480"/>
                <w:jc w:val="center"/>
              </w:trPr>
              <w:tc>
                <w:tcPr>
                  <w:tcW w:w="8789" w:type="dxa"/>
                  <w:gridSpan w:val="3"/>
                  <w:tcMar>
                    <w:top w:w="0" w:type="dxa"/>
                    <w:left w:w="108" w:type="dxa"/>
                    <w:bottom w:w="0" w:type="dxa"/>
                    <w:right w:w="108" w:type="dxa"/>
                  </w:tcMar>
                  <w:vAlign w:val="center"/>
                  <w:hideMark/>
                </w:tcPr>
                <w:p w:rsidR="00AF5A50" w:rsidRDefault="00AF5A50">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AF5A50">
              <w:trPr>
                <w:trHeight w:val="480"/>
                <w:jc w:val="center"/>
              </w:trPr>
              <w:tc>
                <w:tcPr>
                  <w:tcW w:w="8789" w:type="dxa"/>
                  <w:gridSpan w:val="3"/>
                  <w:tcMar>
                    <w:top w:w="0" w:type="dxa"/>
                    <w:left w:w="108" w:type="dxa"/>
                    <w:bottom w:w="0" w:type="dxa"/>
                    <w:right w:w="108" w:type="dxa"/>
                  </w:tcMar>
                  <w:vAlign w:val="center"/>
                </w:tcPr>
                <w:p w:rsidR="00AF5A50" w:rsidRDefault="00AF5A50">
                  <w:pPr>
                    <w:spacing w:line="240" w:lineRule="exact"/>
                    <w:ind w:firstLine="566"/>
                    <w:jc w:val="both"/>
                    <w:rPr>
                      <w:rFonts w:ascii="Times New Roman" w:hAnsi="Times New Roman"/>
                      <w:color w:val="auto"/>
                      <w:sz w:val="18"/>
                      <w:szCs w:val="18"/>
                      <w:u w:val="single"/>
                      <w:lang w:eastAsia="tr-TR"/>
                    </w:rPr>
                  </w:pPr>
                  <w:r>
                    <w:rPr>
                      <w:rFonts w:ascii="Times New Roman" w:hAnsi="Times New Roman"/>
                      <w:color w:val="auto"/>
                      <w:sz w:val="18"/>
                      <w:szCs w:val="18"/>
                      <w:u w:val="single"/>
                      <w:lang w:eastAsia="tr-TR"/>
                    </w:rPr>
                    <w:t>Ekonomi Bakanlığından:</w:t>
                  </w:r>
                </w:p>
                <w:p w:rsidR="00AF5A50" w:rsidRDefault="00AF5A50">
                  <w:pPr>
                    <w:spacing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İTHALATTA HAKSIZ REKABETİN ÖNLENMESİNE İLİŞKİN TEBLİĞ</w:t>
                  </w:r>
                </w:p>
                <w:p w:rsidR="00AF5A50" w:rsidRDefault="00AF5A50">
                  <w:pPr>
                    <w:spacing w:line="240" w:lineRule="exact"/>
                    <w:jc w:val="center"/>
                    <w:rPr>
                      <w:rFonts w:ascii="Times New Roman" w:hAnsi="Times New Roman"/>
                      <w:b/>
                      <w:bCs/>
                      <w:color w:val="auto"/>
                      <w:sz w:val="18"/>
                      <w:szCs w:val="18"/>
                      <w:lang w:eastAsia="tr-TR"/>
                    </w:rPr>
                  </w:pPr>
                  <w:r>
                    <w:rPr>
                      <w:rFonts w:ascii="Times New Roman" w:hAnsi="Times New Roman"/>
                      <w:b/>
                      <w:bCs/>
                      <w:color w:val="auto"/>
                      <w:sz w:val="18"/>
                      <w:szCs w:val="18"/>
                      <w:lang w:eastAsia="tr-TR"/>
                    </w:rPr>
                    <w:t>(TEBLİĞ NO: 2015/20)</w:t>
                  </w:r>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Başvuru ve mevcut durum</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 –</w:t>
                  </w:r>
                  <w:r>
                    <w:rPr>
                      <w:rFonts w:ascii="Times New Roman" w:hAnsi="Times New Roman"/>
                      <w:color w:val="auto"/>
                      <w:sz w:val="18"/>
                      <w:szCs w:val="18"/>
                      <w:lang w:eastAsia="tr-TR"/>
                    </w:rPr>
                    <w:t xml:space="preserve"> (1) </w:t>
                  </w:r>
                  <w:proofErr w:type="gramStart"/>
                  <w:r>
                    <w:rPr>
                      <w:rFonts w:ascii="Times New Roman" w:hAnsi="Times New Roman"/>
                      <w:color w:val="auto"/>
                      <w:sz w:val="18"/>
                      <w:szCs w:val="18"/>
                      <w:lang w:eastAsia="tr-TR"/>
                    </w:rPr>
                    <w:t>20/10/2006</w:t>
                  </w:r>
                  <w:proofErr w:type="gramEnd"/>
                  <w:r>
                    <w:rPr>
                      <w:rFonts w:ascii="Times New Roman" w:hAnsi="Times New Roman"/>
                      <w:color w:val="auto"/>
                      <w:sz w:val="18"/>
                      <w:szCs w:val="18"/>
                      <w:lang w:eastAsia="tr-TR"/>
                    </w:rPr>
                    <w:t xml:space="preserve"> tarihli ve 26325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İthalatta Haksız Rekabetin Önlenmesine İlişkin 2006/28 sayılı Tebliğ ile Çin Halk Cumhuriyeti (ÇHC) menşeli “kontrplak” ithalatında dampinge karşı kesin önlem yürürlüğe konulmuştur. </w:t>
                  </w:r>
                  <w:proofErr w:type="gramStart"/>
                  <w:r>
                    <w:rPr>
                      <w:rFonts w:ascii="Times New Roman" w:hAnsi="Times New Roman"/>
                      <w:color w:val="auto"/>
                      <w:sz w:val="18"/>
                      <w:szCs w:val="18"/>
                      <w:lang w:eastAsia="tr-TR"/>
                    </w:rPr>
                    <w:t>10/07/2012</w:t>
                  </w:r>
                  <w:proofErr w:type="gramEnd"/>
                  <w:r>
                    <w:rPr>
                      <w:rFonts w:ascii="Times New Roman" w:hAnsi="Times New Roman"/>
                      <w:color w:val="auto"/>
                      <w:sz w:val="18"/>
                      <w:szCs w:val="18"/>
                      <w:lang w:eastAsia="tr-TR"/>
                    </w:rPr>
                    <w:t xml:space="preserve"> tarihli ve 28349 sayılı Resmî </w:t>
                  </w:r>
                  <w:proofErr w:type="spellStart"/>
                  <w:r>
                    <w:rPr>
                      <w:rFonts w:ascii="Times New Roman" w:hAnsi="Times New Roman"/>
                      <w:color w:val="auto"/>
                      <w:sz w:val="18"/>
                      <w:szCs w:val="18"/>
                      <w:lang w:eastAsia="tr-TR"/>
                    </w:rPr>
                    <w:t>Gazete’de</w:t>
                  </w:r>
                  <w:proofErr w:type="spellEnd"/>
                  <w:r>
                    <w:rPr>
                      <w:rFonts w:ascii="Times New Roman" w:hAnsi="Times New Roman"/>
                      <w:color w:val="auto"/>
                      <w:sz w:val="18"/>
                      <w:szCs w:val="18"/>
                      <w:lang w:eastAsia="tr-TR"/>
                    </w:rPr>
                    <w:t xml:space="preserve"> yayımlanan 2012/16 sayılı İthalatta Haksız Rekabetin Önlenmesine İlişkin Tebliğ ile tamamlanan nihai gözden geçirme soruşturması (NGGS) kapsamında anılan önlemin devamına karar verilmiştir.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Kontrplak Üreticileri Derneği (KONÜDER) ÇHC menşeli kontrplakların ithalatında uygulanmakta olan </w:t>
                  </w:r>
                  <w:proofErr w:type="gramStart"/>
                  <w:r>
                    <w:rPr>
                      <w:rFonts w:ascii="Times New Roman" w:hAnsi="Times New Roman"/>
                      <w:color w:val="auto"/>
                      <w:sz w:val="18"/>
                      <w:szCs w:val="18"/>
                      <w:lang w:eastAsia="tr-TR"/>
                    </w:rPr>
                    <w:t>dampinge</w:t>
                  </w:r>
                  <w:proofErr w:type="gramEnd"/>
                  <w:r>
                    <w:rPr>
                      <w:rFonts w:ascii="Times New Roman" w:hAnsi="Times New Roman"/>
                      <w:color w:val="auto"/>
                      <w:sz w:val="18"/>
                      <w:szCs w:val="18"/>
                      <w:lang w:eastAsia="tr-TR"/>
                    </w:rPr>
                    <w:t xml:space="preserve"> karşı önlemin Bulgaristan ve Vietnam üzerinden menşe saptırması yapılarak etkisiz kılındığı iddiasıyla Bakanlığımıza başvuruda bulunmuştur.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(3) Mezkur önlemin etkisiz kılındığına ilişkin iddia ve bulgular 4412 sayılı Kanun ile değişik 3577 sayılı İthalatta Haksız Rekabetin Önlenmesi Hakkında Kanun, </w:t>
                  </w:r>
                  <w:proofErr w:type="gramStart"/>
                  <w:r>
                    <w:rPr>
                      <w:rFonts w:ascii="Times New Roman" w:hAnsi="Times New Roman"/>
                      <w:color w:val="auto"/>
                      <w:sz w:val="18"/>
                      <w:szCs w:val="18"/>
                      <w:lang w:eastAsia="tr-TR"/>
                    </w:rPr>
                    <w:t>20/10/1999</w:t>
                  </w:r>
                  <w:proofErr w:type="gramEnd"/>
                  <w:r>
                    <w:rPr>
                      <w:rFonts w:ascii="Times New Roman" w:hAnsi="Times New Roman"/>
                      <w:color w:val="auto"/>
                      <w:sz w:val="18"/>
                      <w:szCs w:val="18"/>
                      <w:lang w:eastAsia="tr-TR"/>
                    </w:rPr>
                    <w:t xml:space="preserve"> tarihli ve 99/13482 sayılı Bakanlar Kurulu Kararı ile yürürlüğe giren İthalatta Haksız Rekabetin Önlenmesi Hakkında Karar (Karar) ve İthalatta Haksız Rekabetin Önlenmesi Hakkında Yönetmelik (Yönetmelik) hükümleri çerçevesinde değerlendirilmiştir.</w:t>
                  </w:r>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Soruşturma konusu eşya</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2 –</w:t>
                  </w:r>
                  <w:r>
                    <w:rPr>
                      <w:rFonts w:ascii="Times New Roman" w:hAnsi="Times New Roman"/>
                      <w:color w:val="auto"/>
                      <w:sz w:val="18"/>
                      <w:szCs w:val="18"/>
                      <w:lang w:eastAsia="tr-TR"/>
                    </w:rPr>
                    <w:t xml:space="preserve"> (1) Soruşturma konusu eşya </w:t>
                  </w:r>
                  <w:proofErr w:type="gramStart"/>
                  <w:r>
                    <w:rPr>
                      <w:rFonts w:ascii="Times New Roman" w:hAnsi="Times New Roman"/>
                      <w:color w:val="auto"/>
                      <w:sz w:val="18"/>
                      <w:szCs w:val="18"/>
                      <w:lang w:eastAsia="tr-TR"/>
                    </w:rPr>
                    <w:t>4412.10</w:t>
                  </w:r>
                  <w:proofErr w:type="gramEnd"/>
                  <w:r>
                    <w:rPr>
                      <w:rFonts w:ascii="Times New Roman" w:hAnsi="Times New Roman"/>
                      <w:color w:val="auto"/>
                      <w:sz w:val="18"/>
                      <w:szCs w:val="18"/>
                      <w:lang w:eastAsia="tr-TR"/>
                    </w:rPr>
                    <w:t>, 4412.31, 4412.32 ve 4412.39 Gümrük Tarife Pozisyonları (GTP) altında yer alan “</w:t>
                  </w:r>
                  <w:proofErr w:type="spellStart"/>
                  <w:r>
                    <w:rPr>
                      <w:rFonts w:ascii="Times New Roman" w:hAnsi="Times New Roman"/>
                      <w:color w:val="auto"/>
                      <w:sz w:val="18"/>
                      <w:szCs w:val="18"/>
                      <w:lang w:eastAsia="tr-TR"/>
                    </w:rPr>
                    <w:t>kontrplaklar”dır</w:t>
                  </w:r>
                  <w:proofErr w:type="spellEnd"/>
                  <w:r>
                    <w:rPr>
                      <w:rFonts w:ascii="Times New Roman" w:hAnsi="Times New Roman"/>
                      <w:color w:val="auto"/>
                      <w:sz w:val="18"/>
                      <w:szCs w:val="18"/>
                      <w:lang w:eastAsia="tr-TR"/>
                    </w:rPr>
                    <w:t>.</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(2) Bu aşamada belirtilen </w:t>
                  </w:r>
                  <w:proofErr w:type="spellStart"/>
                  <w:r>
                    <w:rPr>
                      <w:rFonts w:ascii="Times New Roman" w:hAnsi="Times New Roman"/>
                      <w:color w:val="auto"/>
                      <w:sz w:val="18"/>
                      <w:szCs w:val="18"/>
                      <w:lang w:eastAsia="tr-TR"/>
                    </w:rPr>
                    <w:t>GTP’ler</w:t>
                  </w:r>
                  <w:proofErr w:type="spellEnd"/>
                  <w:r>
                    <w:rPr>
                      <w:rFonts w:ascii="Times New Roman" w:hAnsi="Times New Roman"/>
                      <w:color w:val="auto"/>
                      <w:sz w:val="18"/>
                      <w:szCs w:val="18"/>
                      <w:lang w:eastAsia="tr-TR"/>
                    </w:rPr>
                    <w:t xml:space="preserve"> bilgi amaçlı verilmiş olup, bağlayıcı nitelikte değildir.</w:t>
                  </w:r>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Önlemlerin etkisiz kılınmasına ilişkin bulgular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3 – </w:t>
                  </w:r>
                  <w:r>
                    <w:rPr>
                      <w:rFonts w:ascii="Times New Roman" w:hAnsi="Times New Roman"/>
                      <w:color w:val="auto"/>
                      <w:sz w:val="18"/>
                      <w:szCs w:val="18"/>
                      <w:lang w:eastAsia="tr-TR"/>
                    </w:rPr>
                    <w:t>(1) İnceleme konusu üründe toplam ithalatımız 2012 yılında 265.006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 xml:space="preserve"> iken, 2013 yılında bir önceki yıla göre %8,5 oranında artarak 287.695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 2014 yılında ise bir önceki yıla göre %9,4 oranında artarak 314.652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 xml:space="preserve"> olarak gerçekleşmiştir. ÇHC menşeli kontrplak ithalatının 2012 yılında 444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 xml:space="preserve"> iken, 2013’de %74 oranında gerileyerek 115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’e düştüğü; buna karşın başvuru konusu iki ülkeden yapılan toplam ithalatın aynı dönemde % 19 oranında artarak 19.831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’den 23.682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’e çıktığı belirlenmiştir. 2014 yılında ÇHC menşeli ithalat 267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 başvuru konusu iki ülkeden yapılan toplam ithalat ise 43.656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 xml:space="preserve"> olarak kaydedilmiştir.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Vietnam’dan önlem (NGGS) öncesinde gerçekleştirilen ithalat 2010 yılında 3.250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 xml:space="preserve"> iken, 2013 yılında 10.052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’e, 2014 yılında ise 24.065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’e yükselmiştir. Toplam ithalat içinde Vietnam’ın payı 2010 yılında % 2 iken 2014 yılında %8’e ulaşmıştır.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Bulgaristan’dan yapılan ithalat 2010 yılında 13.243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 xml:space="preserve"> iken 2014 yılında 19.591 m</w:t>
                  </w:r>
                  <w:r>
                    <w:rPr>
                      <w:rFonts w:ascii="Times New Roman" w:hAnsi="Times New Roman"/>
                      <w:color w:val="auto"/>
                      <w:position w:val="6"/>
                      <w:sz w:val="18"/>
                      <w:szCs w:val="18"/>
                      <w:lang w:eastAsia="tr-TR"/>
                    </w:rPr>
                    <w:t>3</w:t>
                  </w:r>
                  <w:r>
                    <w:rPr>
                      <w:rFonts w:ascii="Times New Roman" w:hAnsi="Times New Roman"/>
                      <w:color w:val="auto"/>
                      <w:sz w:val="18"/>
                      <w:szCs w:val="18"/>
                      <w:lang w:eastAsia="tr-TR"/>
                    </w:rPr>
                    <w:t>’e yükselmiştir. Toplam ithalat içinde Bulgaristan’ın payı 2010-2014 yılları itibariyle yaklaşık % 6 seviyesinde gerçekleşmiştir.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 xml:space="preserve">(4) Yapılan incelemeler ve ilgili ülkelerdeki Ticaret Müşavirliklerimiz aracılığıyla elde edilen bilgiler doğrultusunda, yürürlükteki dampinge karşı önlemin Bulgaristan ve Vietnam üzerinden etkisiz kılındığına dair ciddi şüphe </w:t>
                  </w:r>
                  <w:proofErr w:type="gramStart"/>
                  <w:r>
                    <w:rPr>
                      <w:rFonts w:ascii="Times New Roman" w:hAnsi="Times New Roman"/>
                      <w:color w:val="auto"/>
                      <w:sz w:val="18"/>
                      <w:szCs w:val="18"/>
                      <w:lang w:eastAsia="tr-TR"/>
                    </w:rPr>
                    <w:t>hasıl</w:t>
                  </w:r>
                  <w:proofErr w:type="gramEnd"/>
                  <w:r>
                    <w:rPr>
                      <w:rFonts w:ascii="Times New Roman" w:hAnsi="Times New Roman"/>
                      <w:color w:val="auto"/>
                      <w:sz w:val="18"/>
                      <w:szCs w:val="18"/>
                      <w:lang w:eastAsia="tr-TR"/>
                    </w:rPr>
                    <w:t xml:space="preserve"> olmuştur.</w:t>
                  </w:r>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Karar ve işlemler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4 – </w:t>
                  </w:r>
                  <w:r>
                    <w:rPr>
                      <w:rFonts w:ascii="Times New Roman" w:hAnsi="Times New Roman"/>
                      <w:color w:val="auto"/>
                      <w:sz w:val="18"/>
                      <w:szCs w:val="18"/>
                      <w:lang w:eastAsia="tr-TR"/>
                    </w:rPr>
                    <w:t>(1) Anılan başvuru sonrası yapılan incelemeler sonucunda Bulgaristan ve Vietnam menşeli/çıkışlı söz konusu eşya için İthalatta Haksız Rekabeti Değerlendirme Kurulu’nca, Yönetmeliğin 38 inci maddesi çerçevesinde önlemlerin etkisiz kılınmasına karşı soruşturma açılmasına karar verilmiştir.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Soruşturma, Ekonomi Bakanlığı İthalat Genel Müdürlüğü (Genel Müdürlük) tarafından yürütülecektir.</w:t>
                  </w:r>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 formları ve bilgilerin toplanması</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5 – </w:t>
                  </w:r>
                  <w:r>
                    <w:rPr>
                      <w:rFonts w:ascii="Times New Roman" w:hAnsi="Times New Roman"/>
                      <w:color w:val="auto"/>
                      <w:sz w:val="18"/>
                      <w:szCs w:val="18"/>
                      <w:lang w:eastAsia="tr-TR"/>
                    </w:rPr>
                    <w:t>(1) Soruşturma için gerekli bilgilerin temini amacıyla, söz konusu eşyanın bilinen ithalatçılarına ve soruşturma kapsamına giren bilinen yabancı üretici/ihracatçılarına soruşturmanın açılışına ilişkin bildirim gönderilecektir. Bildirimi almayan tarafların soru formunu Ekonomi Bakanlığı internet sayfasındaki ilgili bölümden indirmeleri mümkün bulunmaktadır.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Öte yandan, ilgili üretici ve ihracatçılara iletilmesini kolaylaştırmak ve çabuklaştırmak amacıyla, soruşturmaya konu Bulgaristan ve Vietnam’ın Ankara Büyükelçiliklerine de soru formu gönderilecektir.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Soruşturmaya ilişkin yazılı ve sözlü iletişim Türkçe yapılacaktır. İlgili tarafların soru formuna ilişkin yanıtlarını ve bu yanıtlar dışında kalan tüm bilgi, belge, görüş ve taleplerini yazılı olarak Türkçe sunmaları gerekmektedir.</w:t>
                  </w:r>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Süreler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6 –</w:t>
                  </w:r>
                  <w:r>
                    <w:rPr>
                      <w:rFonts w:ascii="Times New Roman" w:hAnsi="Times New Roman"/>
                      <w:color w:val="auto"/>
                      <w:sz w:val="18"/>
                      <w:szCs w:val="18"/>
                      <w:lang w:eastAsia="tr-TR"/>
                    </w:rPr>
                    <w:t xml:space="preserve"> (1) Soru formunu cevaplandırma süresi, soruşturma açılmasına dair bildirimin gönderildiği tarihten itibaren posta süresi </w:t>
                  </w:r>
                  <w:proofErr w:type="gramStart"/>
                  <w:r>
                    <w:rPr>
                      <w:rFonts w:ascii="Times New Roman" w:hAnsi="Times New Roman"/>
                      <w:color w:val="auto"/>
                      <w:sz w:val="18"/>
                      <w:szCs w:val="18"/>
                      <w:lang w:eastAsia="tr-TR"/>
                    </w:rPr>
                    <w:t>dahil</w:t>
                  </w:r>
                  <w:proofErr w:type="gramEnd"/>
                  <w:r>
                    <w:rPr>
                      <w:rFonts w:ascii="Times New Roman" w:hAnsi="Times New Roman"/>
                      <w:color w:val="auto"/>
                      <w:sz w:val="18"/>
                      <w:szCs w:val="18"/>
                      <w:lang w:eastAsia="tr-TR"/>
                    </w:rPr>
                    <w:t xml:space="preserve"> 37 gündür. Tebliğ’in 5 inci maddesinde belirtilen bildirimin gönderilmediği ilgili taraflar ise, bu Tebliğ’in yayımı tarihinden itibaren işleyecek 37 günlük süre ile bağlıdırlar.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lastRenderedPageBreak/>
                    <w:t>(2) Soru formunda istenilen bilgilerin haricinde, soruşturmayla ilgili olduğu düşünülen diğer bilgi, belge ve görüşlerin dikkate alınabilmesi için, söz konusu bilgi, belge ve görüşlerin, bu Tebliğ’in yayımı tarihinden itibaren en geç 37 gün içinde Genel Müdürlüğe yazılı olarak ulaştırılması gerekmektedir.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(3) Soruşturmanın sonucundan etkilenebileceklerini iddia eden diğer ilgili tarafların da (yerli üreticiler, ithalatçılar, ilgili meslek kuruluşları, tüketici dernekleri, üretim dalındaki işçi veya işveren sendikaları, vb.) görüşleri ile konuya ilişkin her türlü bilgi ve belgeyi bu Tebliğin yayımı tarihinden itibaren 37 gün içinde yazılı olarak Genel Müdürlüğe bildirmeleri gerekmektedir.</w:t>
                  </w:r>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İşbirliğine gelinmemesi</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7 – </w:t>
                  </w:r>
                  <w:r>
                    <w:rPr>
                      <w:rFonts w:ascii="Times New Roman" w:hAnsi="Times New Roman"/>
                      <w:color w:val="auto"/>
                      <w:sz w:val="18"/>
                      <w:szCs w:val="18"/>
                      <w:lang w:eastAsia="tr-TR"/>
                    </w:rPr>
                    <w:t xml:space="preserve">(1) Yönetmeliğin 26 </w:t>
                  </w:r>
                  <w:proofErr w:type="spellStart"/>
                  <w:r>
                    <w:rPr>
                      <w:rFonts w:ascii="Times New Roman" w:hAnsi="Times New Roman"/>
                      <w:color w:val="auto"/>
                      <w:sz w:val="18"/>
                      <w:szCs w:val="18"/>
                      <w:lang w:eastAsia="tr-TR"/>
                    </w:rPr>
                    <w:t>ncı</w:t>
                  </w:r>
                  <w:proofErr w:type="spellEnd"/>
                  <w:r>
                    <w:rPr>
                      <w:rFonts w:ascii="Times New Roman" w:hAnsi="Times New Roman"/>
                      <w:color w:val="auto"/>
                      <w:sz w:val="18"/>
                      <w:szCs w:val="18"/>
                      <w:lang w:eastAsia="tr-TR"/>
                    </w:rPr>
                    <w:t xml:space="preserve">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alınacaktır.</w:t>
                  </w:r>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Geçici önlem alınması, vergilerin geriye dönük uygulanması</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8 –</w:t>
                  </w:r>
                  <w:r>
                    <w:rPr>
                      <w:rFonts w:ascii="Times New Roman" w:hAnsi="Times New Roman"/>
                      <w:color w:val="auto"/>
                      <w:sz w:val="18"/>
                      <w:szCs w:val="18"/>
                      <w:lang w:eastAsia="tr-TR"/>
                    </w:rPr>
                    <w:t xml:space="preserve"> (1) Karar’ın ilgili maddeleri uyarınca, soruşturma süresince geçici önlem uygulanması kararlaştırılabilir ve kesin önlem geriye dönük olarak uygulanabilir.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(2) Önlemlerin uygulanmasında başlamış işlem kavramı ve istisnası bulunmamaktadır.</w:t>
                  </w:r>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Yetkili merci ve adresi</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9 – </w:t>
                  </w:r>
                  <w:r>
                    <w:rPr>
                      <w:rFonts w:ascii="Times New Roman" w:hAnsi="Times New Roman"/>
                      <w:color w:val="auto"/>
                      <w:sz w:val="18"/>
                      <w:szCs w:val="18"/>
                      <w:lang w:eastAsia="tr-TR"/>
                    </w:rPr>
                    <w:t>(1) Soruşturmayla ilgili bilgi ve belgeler ile görüşlerin aşağıda belirtilen yetkili mercie iletilmesi gerekmektedir:</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T.C. Ekonomi Bakanlığı</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İthalat Genel Müdürlüğü</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İthalat Politikalarını İzleme ve Değerlendirme Dairesi</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İnönü Bulvarı No: 36, 06510 Emek/ANKARA</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Tel: +90 (312) 204 77 88</w:t>
                  </w:r>
                  <w:r>
                    <w:rPr>
                      <w:rFonts w:ascii="Times New Roman" w:hAnsi="Times New Roman"/>
                      <w:noProof/>
                      <w:color w:val="auto"/>
                      <w:sz w:val="18"/>
                      <w:szCs w:val="18"/>
                      <w:lang w:eastAsia="tr-TR"/>
                    </w:rPr>
                    <w:drawing>
                      <wp:inline distT="0" distB="0" distL="0" distR="0">
                        <wp:extent cx="228600" cy="228600"/>
                        <wp:effectExtent l="0" t="0" r="0" b="0"/>
                        <wp:docPr id="1" name="Resim 1"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kypec2c://r/20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olor w:val="auto"/>
                      <w:sz w:val="18"/>
                      <w:szCs w:val="18"/>
                      <w:lang w:eastAsia="tr-TR"/>
                    </w:rPr>
                    <w:t>+90 (312) 204 77 88; 204 77 01</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color w:val="auto"/>
                      <w:sz w:val="18"/>
                      <w:szCs w:val="18"/>
                      <w:lang w:eastAsia="tr-TR"/>
                    </w:rPr>
                    <w:t>Faks +90 (312) 204 86 33</w:t>
                  </w:r>
                </w:p>
                <w:p w:rsidR="00AF5A50" w:rsidRDefault="00AF5A50">
                  <w:pPr>
                    <w:spacing w:line="240" w:lineRule="exact"/>
                    <w:ind w:firstLine="566"/>
                    <w:jc w:val="both"/>
                    <w:rPr>
                      <w:rFonts w:ascii="Times New Roman" w:hAnsi="Times New Roman"/>
                      <w:color w:val="auto"/>
                      <w:sz w:val="18"/>
                      <w:szCs w:val="18"/>
                      <w:lang w:eastAsia="tr-TR"/>
                    </w:rPr>
                  </w:pPr>
                  <w:proofErr w:type="gramStart"/>
                  <w:r>
                    <w:rPr>
                      <w:rFonts w:ascii="Times New Roman" w:hAnsi="Times New Roman"/>
                      <w:color w:val="auto"/>
                      <w:sz w:val="18"/>
                      <w:szCs w:val="18"/>
                      <w:lang w:eastAsia="tr-TR"/>
                    </w:rPr>
                    <w:t>e</w:t>
                  </w:r>
                  <w:proofErr w:type="gramEnd"/>
                  <w:r>
                    <w:rPr>
                      <w:rFonts w:ascii="Times New Roman" w:hAnsi="Times New Roman"/>
                      <w:color w:val="auto"/>
                      <w:sz w:val="18"/>
                      <w:szCs w:val="18"/>
                      <w:lang w:eastAsia="tr-TR"/>
                    </w:rPr>
                    <w:t xml:space="preserve">-posta: </w:t>
                  </w:r>
                  <w:hyperlink r:id="rId6" w:history="1">
                    <w:r>
                      <w:rPr>
                        <w:rStyle w:val="Kpr"/>
                        <w:rFonts w:ascii="Times New Roman" w:hAnsi="Times New Roman"/>
                        <w:sz w:val="18"/>
                        <w:szCs w:val="18"/>
                        <w:lang w:eastAsia="tr-TR"/>
                      </w:rPr>
                      <w:t>oek187@ekonomi.gov.tr</w:t>
                    </w:r>
                  </w:hyperlink>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Soruşturmanın başlangıç tarihi</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 xml:space="preserve">MADDE 10 – </w:t>
                  </w:r>
                  <w:r>
                    <w:rPr>
                      <w:rFonts w:ascii="Times New Roman" w:hAnsi="Times New Roman"/>
                      <w:color w:val="auto"/>
                      <w:sz w:val="18"/>
                      <w:szCs w:val="18"/>
                      <w:lang w:eastAsia="tr-TR"/>
                    </w:rPr>
                    <w:t>(1) Soruşturma, bu Tebliğin yayımı tarihinde başlamış kabul edilir.</w:t>
                  </w:r>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Yürürlük</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11 –</w:t>
                  </w:r>
                  <w:r>
                    <w:rPr>
                      <w:rFonts w:ascii="Times New Roman" w:hAnsi="Times New Roman"/>
                      <w:color w:val="auto"/>
                      <w:sz w:val="18"/>
                      <w:szCs w:val="18"/>
                      <w:lang w:eastAsia="tr-TR"/>
                    </w:rPr>
                    <w:t xml:space="preserve"> (1) Bu Tebliğ yayımı tarihinde yürürlüğe girer.</w:t>
                  </w:r>
                </w:p>
                <w:p w:rsidR="00AF5A50" w:rsidRDefault="00AF5A50">
                  <w:pPr>
                    <w:spacing w:line="240" w:lineRule="exact"/>
                    <w:ind w:firstLine="566"/>
                    <w:jc w:val="both"/>
                    <w:rPr>
                      <w:rFonts w:ascii="Times New Roman" w:hAnsi="Times New Roman"/>
                      <w:b/>
                      <w:bCs/>
                      <w:color w:val="auto"/>
                      <w:sz w:val="18"/>
                      <w:szCs w:val="18"/>
                      <w:lang w:eastAsia="tr-TR"/>
                    </w:rPr>
                  </w:pPr>
                  <w:r>
                    <w:rPr>
                      <w:rFonts w:ascii="Times New Roman" w:hAnsi="Times New Roman"/>
                      <w:b/>
                      <w:bCs/>
                      <w:color w:val="auto"/>
                      <w:sz w:val="18"/>
                      <w:szCs w:val="18"/>
                      <w:lang w:eastAsia="tr-TR"/>
                    </w:rPr>
                    <w:t>Yürütme</w:t>
                  </w:r>
                </w:p>
                <w:p w:rsidR="00AF5A50" w:rsidRDefault="00AF5A50">
                  <w:pPr>
                    <w:spacing w:line="240" w:lineRule="exact"/>
                    <w:ind w:firstLine="566"/>
                    <w:jc w:val="both"/>
                    <w:rPr>
                      <w:rFonts w:ascii="Times New Roman" w:hAnsi="Times New Roman"/>
                      <w:color w:val="auto"/>
                      <w:sz w:val="18"/>
                      <w:szCs w:val="18"/>
                      <w:lang w:eastAsia="tr-TR"/>
                    </w:rPr>
                  </w:pPr>
                  <w:r>
                    <w:rPr>
                      <w:rFonts w:ascii="Times New Roman" w:hAnsi="Times New Roman"/>
                      <w:b/>
                      <w:bCs/>
                      <w:color w:val="auto"/>
                      <w:sz w:val="18"/>
                      <w:szCs w:val="18"/>
                      <w:lang w:eastAsia="tr-TR"/>
                    </w:rPr>
                    <w:t>MADDE 12 –</w:t>
                  </w:r>
                  <w:r>
                    <w:rPr>
                      <w:rFonts w:ascii="Times New Roman" w:hAnsi="Times New Roman"/>
                      <w:color w:val="auto"/>
                      <w:sz w:val="18"/>
                      <w:szCs w:val="18"/>
                      <w:lang w:eastAsia="tr-TR"/>
                    </w:rPr>
                    <w:t xml:space="preserve"> (1) Bu Tebliğ hükümlerini Ekonomi Bakanı yürütür.</w:t>
                  </w:r>
                </w:p>
                <w:p w:rsidR="00AF5A50" w:rsidRDefault="00AF5A50">
                  <w:pPr>
                    <w:spacing w:before="100" w:beforeAutospacing="1" w:after="100" w:afterAutospacing="1"/>
                    <w:jc w:val="center"/>
                    <w:rPr>
                      <w:rFonts w:ascii="Arial" w:hAnsi="Arial" w:cs="Arial"/>
                      <w:b/>
                      <w:bCs/>
                      <w:color w:val="000080"/>
                      <w:sz w:val="18"/>
                      <w:szCs w:val="18"/>
                      <w:lang w:eastAsia="tr-TR"/>
                    </w:rPr>
                  </w:pPr>
                </w:p>
              </w:tc>
            </w:tr>
          </w:tbl>
          <w:p w:rsidR="00AF5A50" w:rsidRDefault="00AF5A50">
            <w:pPr>
              <w:jc w:val="center"/>
              <w:rPr>
                <w:rFonts w:ascii="Times New Roman" w:eastAsia="Times New Roman" w:hAnsi="Times New Roman"/>
                <w:color w:val="auto"/>
                <w:sz w:val="20"/>
                <w:szCs w:val="20"/>
                <w:lang w:eastAsia="tr-TR"/>
              </w:rPr>
            </w:pPr>
          </w:p>
        </w:tc>
      </w:tr>
    </w:tbl>
    <w:p w:rsidR="00AF5A50" w:rsidRDefault="00AF5A50" w:rsidP="00AF5A50">
      <w:pPr>
        <w:jc w:val="center"/>
        <w:rPr>
          <w:rFonts w:ascii="Times New Roman" w:hAnsi="Times New Roman"/>
          <w:color w:val="auto"/>
          <w:lang w:eastAsia="tr-TR"/>
        </w:rPr>
      </w:pPr>
    </w:p>
    <w:p w:rsidR="00942A67" w:rsidRDefault="00942A67">
      <w:bookmarkStart w:id="0" w:name="_GoBack"/>
      <w:bookmarkEnd w:id="0"/>
    </w:p>
    <w:sectPr w:rsidR="00942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50"/>
    <w:rsid w:val="00942A67"/>
    <w:rsid w:val="00AF5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2DAEB-3233-479E-B7AA-E23A8DAF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A50"/>
    <w:pPr>
      <w:spacing w:after="0" w:line="240" w:lineRule="auto"/>
    </w:pPr>
    <w:rPr>
      <w:rFonts w:ascii="Verdana" w:hAnsi="Verdana" w:cs="Times New Roman"/>
      <w:color w:val="38383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F5A50"/>
    <w:rPr>
      <w:color w:val="B24B4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ek187@ekonomi.gov.tr" TargetMode="External"/><Relationship Id="rId5" Type="http://schemas.openxmlformats.org/officeDocument/2006/relationships/image" Target="cid:image002.png@01D09871.FB1777D0"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993</Words>
  <Characters>5666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2015-05-27T09:28:00Z</dcterms:created>
  <dcterms:modified xsi:type="dcterms:W3CDTF">2015-05-27T09:30:00Z</dcterms:modified>
</cp:coreProperties>
</file>