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BA1C9C" w:rsidTr="00BA1C9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BA1C9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1C9C" w:rsidRDefault="00BA1C9C">
                  <w:pPr>
                    <w:spacing w:line="240" w:lineRule="exact"/>
                    <w:rPr>
                      <w:rFonts w:ascii="Arial" w:hAnsi="Arial" w:cs="Arial"/>
                      <w:b/>
                      <w:bCs/>
                      <w:sz w:val="16"/>
                      <w:szCs w:val="16"/>
                      <w:lang w:eastAsia="tr-TR"/>
                    </w:rPr>
                  </w:pPr>
                  <w:r>
                    <w:rPr>
                      <w:rFonts w:ascii="Arial" w:hAnsi="Arial" w:cs="Arial"/>
                      <w:sz w:val="16"/>
                      <w:szCs w:val="16"/>
                      <w:lang w:eastAsia="tr-TR"/>
                    </w:rPr>
                    <w:t>28 Ekim 2015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A1C9C" w:rsidRDefault="00BA1C9C">
                  <w:pPr>
                    <w:spacing w:line="240" w:lineRule="exact"/>
                    <w:jc w:val="center"/>
                    <w:rPr>
                      <w:rFonts w:ascii="Palatino Linotype" w:hAnsi="Palatino Linotype"/>
                      <w:b/>
                      <w:bCs/>
                      <w:color w:val="800080"/>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A1C9C" w:rsidRDefault="00BA1C9C">
                  <w:pPr>
                    <w:spacing w:before="100" w:beforeAutospacing="1" w:after="100" w:afterAutospacing="1"/>
                    <w:jc w:val="right"/>
                    <w:rPr>
                      <w:rFonts w:ascii="Arial" w:hAnsi="Arial" w:cs="Arial"/>
                      <w:sz w:val="16"/>
                      <w:szCs w:val="16"/>
                      <w:lang w:eastAsia="tr-TR"/>
                    </w:rPr>
                  </w:pPr>
                  <w:proofErr w:type="gramStart"/>
                  <w:r>
                    <w:rPr>
                      <w:rFonts w:ascii="Arial" w:hAnsi="Arial" w:cs="Arial"/>
                      <w:sz w:val="16"/>
                      <w:szCs w:val="16"/>
                      <w:lang w:eastAsia="tr-TR"/>
                    </w:rPr>
                    <w:t>Sayı : 29516</w:t>
                  </w:r>
                  <w:proofErr w:type="gramEnd"/>
                </w:p>
              </w:tc>
            </w:tr>
            <w:tr w:rsidR="00BA1C9C">
              <w:trPr>
                <w:trHeight w:val="480"/>
                <w:jc w:val="center"/>
              </w:trPr>
              <w:tc>
                <w:tcPr>
                  <w:tcW w:w="8789" w:type="dxa"/>
                  <w:gridSpan w:val="3"/>
                  <w:tcMar>
                    <w:top w:w="0" w:type="dxa"/>
                    <w:left w:w="108" w:type="dxa"/>
                    <w:bottom w:w="0" w:type="dxa"/>
                    <w:right w:w="108" w:type="dxa"/>
                  </w:tcMar>
                  <w:vAlign w:val="center"/>
                  <w:hideMark/>
                </w:tcPr>
                <w:p w:rsidR="00BA1C9C" w:rsidRDefault="00BA1C9C">
                  <w:pPr>
                    <w:spacing w:before="100" w:beforeAutospacing="1" w:after="100" w:afterAutospacing="1"/>
                    <w:jc w:val="center"/>
                    <w:rPr>
                      <w:rFonts w:ascii="Arial" w:hAnsi="Arial" w:cs="Arial"/>
                      <w:b/>
                      <w:bCs/>
                      <w:color w:val="000080"/>
                      <w:sz w:val="18"/>
                      <w:szCs w:val="18"/>
                      <w:lang w:eastAsia="tr-TR"/>
                    </w:rPr>
                  </w:pPr>
                  <w:r>
                    <w:rPr>
                      <w:rFonts w:ascii="Arial" w:hAnsi="Arial" w:cs="Arial"/>
                      <w:b/>
                      <w:bCs/>
                      <w:color w:val="000080"/>
                      <w:sz w:val="18"/>
                      <w:szCs w:val="18"/>
                      <w:lang w:eastAsia="tr-TR"/>
                    </w:rPr>
                    <w:t>TEBLİĞ</w:t>
                  </w:r>
                </w:p>
              </w:tc>
            </w:tr>
            <w:tr w:rsidR="00BA1C9C">
              <w:trPr>
                <w:trHeight w:val="480"/>
                <w:jc w:val="center"/>
              </w:trPr>
              <w:tc>
                <w:tcPr>
                  <w:tcW w:w="8789" w:type="dxa"/>
                  <w:gridSpan w:val="3"/>
                  <w:tcMar>
                    <w:top w:w="0" w:type="dxa"/>
                    <w:left w:w="108" w:type="dxa"/>
                    <w:bottom w:w="0" w:type="dxa"/>
                    <w:right w:w="108" w:type="dxa"/>
                  </w:tcMar>
                  <w:vAlign w:val="center"/>
                </w:tcPr>
                <w:p w:rsidR="00BA1C9C" w:rsidRDefault="00BA1C9C">
                  <w:pPr>
                    <w:spacing w:line="240" w:lineRule="exact"/>
                    <w:ind w:firstLine="566"/>
                    <w:jc w:val="both"/>
                    <w:rPr>
                      <w:rFonts w:ascii="Times New Roman" w:hAnsi="Times New Roman" w:cs="Times New Roman"/>
                      <w:sz w:val="18"/>
                      <w:szCs w:val="18"/>
                      <w:u w:val="single"/>
                      <w:lang w:eastAsia="tr-TR"/>
                    </w:rPr>
                  </w:pPr>
                  <w:r>
                    <w:rPr>
                      <w:rFonts w:ascii="Times New Roman" w:hAnsi="Times New Roman" w:cs="Times New Roman"/>
                      <w:sz w:val="18"/>
                      <w:szCs w:val="18"/>
                      <w:u w:val="single"/>
                      <w:lang w:eastAsia="tr-TR"/>
                    </w:rPr>
                    <w:t>Ekonomi Bakanlığından:</w:t>
                  </w:r>
                </w:p>
                <w:p w:rsidR="00BA1C9C" w:rsidRDefault="00BA1C9C">
                  <w:pPr>
                    <w:spacing w:before="5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İTHALATTA HAKSIZ REKABETİN ÖNLENMESİNE İLİŞKİN TEBLİĞ</w:t>
                  </w:r>
                </w:p>
                <w:p w:rsidR="00BA1C9C" w:rsidRDefault="00BA1C9C">
                  <w:pPr>
                    <w:spacing w:after="226" w:line="240" w:lineRule="exact"/>
                    <w:jc w:val="center"/>
                    <w:rPr>
                      <w:rFonts w:ascii="Times New Roman" w:hAnsi="Times New Roman" w:cs="Times New Roman"/>
                      <w:b/>
                      <w:bCs/>
                      <w:sz w:val="18"/>
                      <w:szCs w:val="18"/>
                      <w:lang w:eastAsia="tr-TR"/>
                    </w:rPr>
                  </w:pPr>
                  <w:r>
                    <w:rPr>
                      <w:rFonts w:ascii="Times New Roman" w:hAnsi="Times New Roman" w:cs="Times New Roman"/>
                      <w:b/>
                      <w:bCs/>
                      <w:sz w:val="18"/>
                      <w:szCs w:val="18"/>
                      <w:lang w:eastAsia="tr-TR"/>
                    </w:rPr>
                    <w:t>(TEBLİĞ NO: 2015/46)</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xml:space="preserve">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Yönetmelik hükümleri çerçevesinde yapılan nihai gözden geçirme soruşturması (NGGS) başvurusu ile bu başvuruya ilişkin olarak söz konusu mevzuat kapsamında yapılan değerlendirmenin sonuçlarını içerir.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Yerli üreticiler Ece Fermuar Sanayi ve Ticaret A.Ş. ve </w:t>
                  </w:r>
                  <w:proofErr w:type="spellStart"/>
                  <w:r>
                    <w:rPr>
                      <w:rFonts w:ascii="Times New Roman" w:hAnsi="Times New Roman" w:cs="Times New Roman"/>
                      <w:sz w:val="18"/>
                      <w:szCs w:val="18"/>
                      <w:lang w:eastAsia="tr-TR"/>
                    </w:rPr>
                    <w:t>Fermaş</w:t>
                  </w:r>
                  <w:proofErr w:type="spellEnd"/>
                  <w:r>
                    <w:rPr>
                      <w:rFonts w:ascii="Times New Roman" w:hAnsi="Times New Roman" w:cs="Times New Roman"/>
                      <w:sz w:val="18"/>
                      <w:szCs w:val="18"/>
                      <w:lang w:eastAsia="tr-TR"/>
                    </w:rPr>
                    <w:t xml:space="preserve"> Fermuar </w:t>
                  </w:r>
                  <w:proofErr w:type="spellStart"/>
                  <w:r>
                    <w:rPr>
                      <w:rFonts w:ascii="Times New Roman" w:hAnsi="Times New Roman" w:cs="Times New Roman"/>
                      <w:sz w:val="18"/>
                      <w:szCs w:val="18"/>
                      <w:lang w:eastAsia="tr-TR"/>
                    </w:rPr>
                    <w:t>Teks</w:t>
                  </w:r>
                  <w:proofErr w:type="spellEnd"/>
                  <w:r>
                    <w:rPr>
                      <w:rFonts w:ascii="Times New Roman" w:hAnsi="Times New Roman" w:cs="Times New Roman"/>
                      <w:sz w:val="18"/>
                      <w:szCs w:val="18"/>
                      <w:lang w:eastAsia="tr-TR"/>
                    </w:rPr>
                    <w:t>. San.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Çin Halk Cumhuriyeti (ÇHC) menşeli “kayarak işleyen </w:t>
                  </w:r>
                  <w:proofErr w:type="spellStart"/>
                  <w:r>
                    <w:rPr>
                      <w:rFonts w:ascii="Times New Roman" w:hAnsi="Times New Roman" w:cs="Times New Roman"/>
                      <w:sz w:val="18"/>
                      <w:szCs w:val="18"/>
                      <w:lang w:eastAsia="tr-TR"/>
                    </w:rPr>
                    <w:t>fermuarlar”ın</w:t>
                  </w:r>
                  <w:proofErr w:type="spellEnd"/>
                  <w:r>
                    <w:rPr>
                      <w:rFonts w:ascii="Times New Roman" w:hAnsi="Times New Roman" w:cs="Times New Roman"/>
                      <w:sz w:val="18"/>
                      <w:szCs w:val="18"/>
                      <w:lang w:eastAsia="tr-TR"/>
                    </w:rPr>
                    <w:t xml:space="preserve"> ithalinde halen uygulanmakta olan dampinge karşı önlemin sona ermesinin, damping ve zararın devamına veya yeniden tekrarına yol açacağı gerekçesiyle bir NGGS açılması istemiyle başvuruda bulunmuştur. Söz konusu başvuru, ilgili ürünün diğer yerli üreticilerinden </w:t>
                  </w:r>
                  <w:proofErr w:type="spellStart"/>
                  <w:r>
                    <w:rPr>
                      <w:rFonts w:ascii="Times New Roman" w:hAnsi="Times New Roman" w:cs="Times New Roman"/>
                      <w:sz w:val="18"/>
                      <w:szCs w:val="18"/>
                      <w:lang w:eastAsia="tr-TR"/>
                    </w:rPr>
                    <w:t>Afa</w:t>
                  </w:r>
                  <w:proofErr w:type="spellEnd"/>
                  <w:r>
                    <w:rPr>
                      <w:rFonts w:ascii="Times New Roman" w:hAnsi="Times New Roman" w:cs="Times New Roman"/>
                      <w:sz w:val="18"/>
                      <w:szCs w:val="18"/>
                      <w:lang w:eastAsia="tr-TR"/>
                    </w:rPr>
                    <w:t xml:space="preserve"> Fermuar ve Düğme San.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Emr</w:t>
                  </w:r>
                  <w:proofErr w:type="spellEnd"/>
                  <w:r>
                    <w:rPr>
                      <w:rFonts w:ascii="Times New Roman" w:hAnsi="Times New Roman" w:cs="Times New Roman"/>
                      <w:sz w:val="18"/>
                      <w:szCs w:val="18"/>
                      <w:lang w:eastAsia="tr-TR"/>
                    </w:rPr>
                    <w:t xml:space="preserve"> Fermuar San. Tic. Ltd. Şti</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Esmaş</w:t>
                  </w:r>
                  <w:proofErr w:type="spellEnd"/>
                  <w:r>
                    <w:rPr>
                      <w:rFonts w:ascii="Times New Roman" w:hAnsi="Times New Roman" w:cs="Times New Roman"/>
                      <w:sz w:val="18"/>
                      <w:szCs w:val="18"/>
                      <w:lang w:eastAsia="tr-TR"/>
                    </w:rPr>
                    <w:t xml:space="preserve"> Kalıp Metal San.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İnci Fermuar San. ve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Roza Tekstil Fermuar San. Tic. A.Ş</w:t>
                  </w:r>
                  <w:proofErr w:type="gramStart"/>
                  <w:r>
                    <w:rPr>
                      <w:rFonts w:ascii="Times New Roman" w:hAnsi="Times New Roman" w:cs="Times New Roman"/>
                      <w:sz w:val="18"/>
                      <w:szCs w:val="18"/>
                      <w:lang w:eastAsia="tr-TR"/>
                    </w:rPr>
                    <w:t>.,</w:t>
                  </w:r>
                  <w:proofErr w:type="gramEnd"/>
                  <w:r>
                    <w:rPr>
                      <w:rFonts w:ascii="Times New Roman" w:hAnsi="Times New Roman" w:cs="Times New Roman"/>
                      <w:sz w:val="18"/>
                      <w:szCs w:val="18"/>
                      <w:lang w:eastAsia="tr-TR"/>
                    </w:rPr>
                    <w:t xml:space="preserve"> Sude Fermuar </w:t>
                  </w:r>
                  <w:proofErr w:type="spellStart"/>
                  <w:r>
                    <w:rPr>
                      <w:rFonts w:ascii="Times New Roman" w:hAnsi="Times New Roman" w:cs="Times New Roman"/>
                      <w:sz w:val="18"/>
                      <w:szCs w:val="18"/>
                      <w:lang w:eastAsia="tr-TR"/>
                    </w:rPr>
                    <w:t>İml</w:t>
                  </w:r>
                  <w:proofErr w:type="spellEnd"/>
                  <w:r>
                    <w:rPr>
                      <w:rFonts w:ascii="Times New Roman" w:hAnsi="Times New Roman" w:cs="Times New Roman"/>
                      <w:sz w:val="18"/>
                      <w:szCs w:val="18"/>
                      <w:lang w:eastAsia="tr-TR"/>
                    </w:rPr>
                    <w:t xml:space="preserve">. </w:t>
                  </w:r>
                  <w:proofErr w:type="spellStart"/>
                  <w:r>
                    <w:rPr>
                      <w:rFonts w:ascii="Times New Roman" w:hAnsi="Times New Roman" w:cs="Times New Roman"/>
                      <w:sz w:val="18"/>
                      <w:szCs w:val="18"/>
                      <w:lang w:eastAsia="tr-TR"/>
                    </w:rPr>
                    <w:t>Teks</w:t>
                  </w:r>
                  <w:proofErr w:type="spellEnd"/>
                  <w:r>
                    <w:rPr>
                      <w:rFonts w:ascii="Times New Roman" w:hAnsi="Times New Roman" w:cs="Times New Roman"/>
                      <w:sz w:val="18"/>
                      <w:szCs w:val="18"/>
                      <w:lang w:eastAsia="tr-TR"/>
                    </w:rPr>
                    <w:t xml:space="preserve">. Ürün. San. ve Tic. Ltd. Şti. ve </w:t>
                  </w:r>
                  <w:proofErr w:type="spellStart"/>
                  <w:r>
                    <w:rPr>
                      <w:rFonts w:ascii="Times New Roman" w:hAnsi="Times New Roman" w:cs="Times New Roman"/>
                      <w:sz w:val="18"/>
                      <w:szCs w:val="18"/>
                      <w:lang w:eastAsia="tr-TR"/>
                    </w:rPr>
                    <w:t>Tit</w:t>
                  </w:r>
                  <w:proofErr w:type="spellEnd"/>
                  <w:r>
                    <w:rPr>
                      <w:rFonts w:ascii="Times New Roman" w:hAnsi="Times New Roman" w:cs="Times New Roman"/>
                      <w:sz w:val="18"/>
                      <w:szCs w:val="18"/>
                      <w:lang w:eastAsia="tr-TR"/>
                    </w:rPr>
                    <w:t xml:space="preserve"> Fermuar </w:t>
                  </w:r>
                  <w:proofErr w:type="spellStart"/>
                  <w:r>
                    <w:rPr>
                      <w:rFonts w:ascii="Times New Roman" w:hAnsi="Times New Roman" w:cs="Times New Roman"/>
                      <w:sz w:val="18"/>
                      <w:szCs w:val="18"/>
                      <w:lang w:eastAsia="tr-TR"/>
                    </w:rPr>
                    <w:t>Titbaş</w:t>
                  </w:r>
                  <w:proofErr w:type="spellEnd"/>
                  <w:r>
                    <w:rPr>
                      <w:rFonts w:ascii="Times New Roman" w:hAnsi="Times New Roman" w:cs="Times New Roman"/>
                      <w:sz w:val="18"/>
                      <w:szCs w:val="18"/>
                      <w:lang w:eastAsia="tr-TR"/>
                    </w:rPr>
                    <w:t xml:space="preserve"> Tekstil ve </w:t>
                  </w:r>
                  <w:proofErr w:type="spellStart"/>
                  <w:r>
                    <w:rPr>
                      <w:rFonts w:ascii="Times New Roman" w:hAnsi="Times New Roman" w:cs="Times New Roman"/>
                      <w:sz w:val="18"/>
                      <w:szCs w:val="18"/>
                      <w:lang w:eastAsia="tr-TR"/>
                    </w:rPr>
                    <w:t>Konf</w:t>
                  </w:r>
                  <w:proofErr w:type="spellEnd"/>
                  <w:r>
                    <w:rPr>
                      <w:rFonts w:ascii="Times New Roman" w:hAnsi="Times New Roman" w:cs="Times New Roman"/>
                      <w:sz w:val="18"/>
                      <w:szCs w:val="18"/>
                      <w:lang w:eastAsia="tr-TR"/>
                    </w:rPr>
                    <w:t>. ve Tic. A.Ş. firmaları tarafından da desteklenmiştir.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Önleme tabi ürün</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xml:space="preserve"> (1) Önleme tabi ürün, </w:t>
                  </w:r>
                  <w:proofErr w:type="gramStart"/>
                  <w:r>
                    <w:rPr>
                      <w:rFonts w:ascii="Times New Roman" w:hAnsi="Times New Roman" w:cs="Times New Roman"/>
                      <w:sz w:val="18"/>
                      <w:szCs w:val="18"/>
                      <w:lang w:eastAsia="tr-TR"/>
                    </w:rPr>
                    <w:t>9607.11</w:t>
                  </w:r>
                  <w:proofErr w:type="gramEnd"/>
                  <w:r>
                    <w:rPr>
                      <w:rFonts w:ascii="Times New Roman" w:hAnsi="Times New Roman" w:cs="Times New Roman"/>
                      <w:sz w:val="18"/>
                      <w:szCs w:val="18"/>
                      <w:lang w:eastAsia="tr-TR"/>
                    </w:rPr>
                    <w:t xml:space="preserve"> ve 9607.19 gümrük tarife pozisyonlarında (GTP) yer alan “kayarak işleyen </w:t>
                  </w:r>
                  <w:proofErr w:type="spellStart"/>
                  <w:r>
                    <w:rPr>
                      <w:rFonts w:ascii="Times New Roman" w:hAnsi="Times New Roman" w:cs="Times New Roman"/>
                      <w:sz w:val="18"/>
                      <w:szCs w:val="18"/>
                      <w:lang w:eastAsia="tr-TR"/>
                    </w:rPr>
                    <w:t>fermuarlar”dır</w:t>
                  </w:r>
                  <w:proofErr w:type="spellEnd"/>
                  <w:r>
                    <w:rPr>
                      <w:rFonts w:ascii="Times New Roman" w:hAnsi="Times New Roman" w:cs="Times New Roman"/>
                      <w:sz w:val="18"/>
                      <w:szCs w:val="18"/>
                      <w:lang w:eastAsia="tr-TR"/>
                    </w:rPr>
                    <w:t>.</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(2) Bahse konu </w:t>
                  </w:r>
                  <w:proofErr w:type="spellStart"/>
                  <w:r>
                    <w:rPr>
                      <w:rFonts w:ascii="Times New Roman" w:hAnsi="Times New Roman" w:cs="Times New Roman"/>
                      <w:sz w:val="18"/>
                      <w:szCs w:val="18"/>
                      <w:lang w:eastAsia="tr-TR"/>
                    </w:rPr>
                    <w:t>GTP’ler</w:t>
                  </w:r>
                  <w:proofErr w:type="spellEnd"/>
                  <w:r>
                    <w:rPr>
                      <w:rFonts w:ascii="Times New Roman" w:hAnsi="Times New Roman" w:cs="Times New Roman"/>
                      <w:sz w:val="18"/>
                      <w:szCs w:val="18"/>
                      <w:lang w:eastAsia="tr-TR"/>
                    </w:rPr>
                    <w:t xml:space="preserve"> yalnızca bilgi amaçlı verilmiş olup bağlayıcı mahiyette değildir.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Önleme tabi ürünün Türk Gümrük Tarife Cetvelinde yer alan tarife pozisyonunda ve/veya eşya tanımında yapılacak değişiklikler, bu Tebliğ hükümlerinin uygulanmasına engel teşkil etmez.</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Başvurunun temsil niteliği</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xml:space="preserve"> (1) Başvuru aşamasında sunulan delillerden, başvuru sahibi ve başvuruyu destekleyen firmaların Yönetmeliğin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yerli üretim dalını temsil niteliğini haiz olduğu anlaşılmıştır.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Mevcut önlem</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12/3/2005</w:t>
                  </w:r>
                  <w:proofErr w:type="gramEnd"/>
                  <w:r>
                    <w:rPr>
                      <w:rFonts w:ascii="Times New Roman" w:hAnsi="Times New Roman" w:cs="Times New Roman"/>
                      <w:sz w:val="18"/>
                      <w:szCs w:val="18"/>
                      <w:lang w:eastAsia="tr-TR"/>
                    </w:rPr>
                    <w:t xml:space="preserve"> tarihli ve 25753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(2005/7) ile ÇHC menşeli “kayarak işleyen </w:t>
                  </w:r>
                  <w:proofErr w:type="spellStart"/>
                  <w:r>
                    <w:rPr>
                      <w:rFonts w:ascii="Times New Roman" w:hAnsi="Times New Roman" w:cs="Times New Roman"/>
                      <w:sz w:val="18"/>
                      <w:szCs w:val="18"/>
                      <w:lang w:eastAsia="tr-TR"/>
                    </w:rPr>
                    <w:t>fermuarlar”ın</w:t>
                  </w:r>
                  <w:proofErr w:type="spellEnd"/>
                  <w:r>
                    <w:rPr>
                      <w:rFonts w:ascii="Times New Roman" w:hAnsi="Times New Roman" w:cs="Times New Roman"/>
                      <w:sz w:val="18"/>
                      <w:szCs w:val="18"/>
                      <w:lang w:eastAsia="tr-TR"/>
                    </w:rPr>
                    <w:t xml:space="preserve"> ithalatında dampinge karşı önlem yürürlüğe konulmuştur. Söz konusu önlemin yürürlük süresi, yürütülen NGGS neticesinde </w:t>
                  </w:r>
                  <w:proofErr w:type="gramStart"/>
                  <w:r>
                    <w:rPr>
                      <w:rFonts w:ascii="Times New Roman" w:hAnsi="Times New Roman" w:cs="Times New Roman"/>
                      <w:sz w:val="18"/>
                      <w:szCs w:val="18"/>
                      <w:lang w:eastAsia="tr-TR"/>
                    </w:rPr>
                    <w:t>30/10/2010</w:t>
                  </w:r>
                  <w:proofErr w:type="gramEnd"/>
                  <w:r>
                    <w:rPr>
                      <w:rFonts w:ascii="Times New Roman" w:hAnsi="Times New Roman" w:cs="Times New Roman"/>
                      <w:sz w:val="18"/>
                      <w:szCs w:val="18"/>
                      <w:lang w:eastAsia="tr-TR"/>
                    </w:rPr>
                    <w:t xml:space="preserve"> tarihli ve 27744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2010/29) ile uzatılmıştır.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Gerekçe</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xml:space="preserve"> (1) </w:t>
                  </w:r>
                  <w:proofErr w:type="gramStart"/>
                  <w:r>
                    <w:rPr>
                      <w:rFonts w:ascii="Times New Roman" w:hAnsi="Times New Roman" w:cs="Times New Roman"/>
                      <w:sz w:val="18"/>
                      <w:szCs w:val="18"/>
                      <w:lang w:eastAsia="tr-TR"/>
                    </w:rPr>
                    <w:t>21/3/2015</w:t>
                  </w:r>
                  <w:proofErr w:type="gramEnd"/>
                  <w:r>
                    <w:rPr>
                      <w:rFonts w:ascii="Times New Roman" w:hAnsi="Times New Roman" w:cs="Times New Roman"/>
                      <w:sz w:val="18"/>
                      <w:szCs w:val="18"/>
                      <w:lang w:eastAsia="tr-TR"/>
                    </w:rPr>
                    <w:t xml:space="preserve"> tarihli ve 29302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 ile söz konusu ürüne ilişkin önlemin 30/10/2015 tarihinde sona ereceği ve yerli üretim dalının mevzuatta öngörülen sürede yeterli delillerle desteklenmiş bir başvuru ile NGGS açılması talebinde bulunabileceği duyurulmuştur.</w:t>
                  </w:r>
                </w:p>
                <w:p w:rsidR="00BA1C9C" w:rsidRDefault="00BA1C9C">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sz w:val="18"/>
                      <w:szCs w:val="18"/>
                      <w:lang w:eastAsia="tr-TR"/>
                    </w:rPr>
                    <w:t>(2) Bu çerçevede yerli üretici tarafından sağlanan bilgi ve belgeler ile Türkiye İstatistik Kurumu ithalat istatistiklerinden yararlanılarak gerçekleştirilen inceleme neticesinde, ÇHC menşeli önleme konu ürün için uygulanan dampinge karşı önlemin yürürlükten kalkması halinde dampingin ve zararın devam etmesinin veya yeniden meydana gelmesinin muhtemel olduğu gerekçesiyle bir NGGS açılması için yeterli delillerin bulunduğu anlaşılmıştır.</w:t>
                  </w:r>
                  <w:proofErr w:type="gramEnd"/>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Karar ve işlemler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xml:space="preserve"> (1) Bir NGGS açılabilmesi için yeterli bilgi, belge ve delillerin bulunduğu anlaşıldığından, İthalatta Haksız Rekabeti Değerlendirme Kurulu tarafından ÇHC menşeli söz konusu ürün için Yönetmeliğin 35 inci maddesi çerçevesinde bir NGGS açılmasına karar verilmiştir.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ÇHC menşeli ithalatta uygulanan soruşturmaya konu mevcut önlem, Yönetmeliğin 35 inci maddesi gereğince, soruşturma sonuçlanıncaya kadar yürürlükte kalmaya devam eder.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 Ekonomi Bakanlığı İthalat Genel Müdürlüğü (Genel Müdürlük) tarafından yürütülür.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Piyasa ekonomisi değerlendirmesi</w:t>
                  </w:r>
                </w:p>
                <w:p w:rsidR="00BA1C9C" w:rsidRDefault="00BA1C9C">
                  <w:pPr>
                    <w:spacing w:line="240" w:lineRule="exact"/>
                    <w:ind w:firstLine="566"/>
                    <w:jc w:val="both"/>
                    <w:rPr>
                      <w:rFonts w:ascii="Times New Roman" w:hAnsi="Times New Roman" w:cs="Times New Roman"/>
                      <w:sz w:val="18"/>
                      <w:szCs w:val="18"/>
                      <w:lang w:eastAsia="tr-TR"/>
                    </w:rPr>
                  </w:pPr>
                  <w:proofErr w:type="gramStart"/>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xml:space="preserve"> (1) Genel Müdürlük tarafından Yönetmeliğin 40 </w:t>
                  </w:r>
                  <w:proofErr w:type="spellStart"/>
                  <w:r>
                    <w:rPr>
                      <w:rFonts w:ascii="Times New Roman" w:hAnsi="Times New Roman" w:cs="Times New Roman"/>
                      <w:sz w:val="18"/>
                      <w:szCs w:val="18"/>
                      <w:lang w:eastAsia="tr-TR"/>
                    </w:rPr>
                    <w:t>ıncı</w:t>
                  </w:r>
                  <w:proofErr w:type="spellEnd"/>
                  <w:r>
                    <w:rPr>
                      <w:rFonts w:ascii="Times New Roman" w:hAnsi="Times New Roman" w:cs="Times New Roman"/>
                      <w:sz w:val="18"/>
                      <w:szCs w:val="18"/>
                      <w:lang w:eastAsia="tr-TR"/>
                    </w:rPr>
                    <w:t xml:space="preserve"> ve 41 inci maddelerinde öngörülen hükümler saklı kalmak üzere soruşturma kapsamında normal değer tespitine karar verilmesi halinde;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xml:space="preserve"> soruşturmaya tabi üretici veya üreticiler tarafından, soruşturma konusu ürünün üretiminde ve satışında Yönetmeliğin ek 1 inci maddesindeki ölçütler çerçevesinde piyasa ekonomisi koşullarının geçerli olduğunun, bu Tebliğin 9 uncu maddesinde </w:t>
                  </w:r>
                  <w:r>
                    <w:rPr>
                      <w:rFonts w:ascii="Times New Roman" w:hAnsi="Times New Roman" w:cs="Times New Roman"/>
                      <w:sz w:val="18"/>
                      <w:szCs w:val="18"/>
                      <w:lang w:eastAsia="tr-TR"/>
                    </w:rPr>
                    <w:lastRenderedPageBreak/>
                    <w:t xml:space="preserve">belirtilen süreler içinde yeterli deliller ile ispat edilmesi durumunda bu üretici veya üreticiler için normal değerin tespitinde Yönetmeliğin 5 inci maddesi, aksi takdirde 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 uygulanır. </w:t>
                  </w:r>
                  <w:proofErr w:type="gramEnd"/>
                  <w:r>
                    <w:rPr>
                      <w:rFonts w:ascii="Times New Roman" w:hAnsi="Times New Roman" w:cs="Times New Roman"/>
                      <w:sz w:val="18"/>
                      <w:szCs w:val="18"/>
                      <w:lang w:eastAsia="tr-TR"/>
                    </w:rPr>
                    <w:t xml:space="preserve">Yönetmeliğin 7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hükümlerinin tatbiki halinde adı geçen ülke için serbest piyasa ekonomisi uygulayan emsal ülke olarak Türkiye’nin seçilmesi öngörülür.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 formları ve bilgilerin toplanması</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xml:space="preserve"> (1) Soruşturma açılmasını müteakip, başvuruda belirtilen ve Bakanlıkça tespit edilen soruşturmaya konu ürünün bilinen ithalatçılarına, soruşturma konusu ülkelerde yerleşik bilinen üretici/ihracatçılarına ve soruşturmaya konu ülkeler Büyükelçiliklerine soruşturmanın açılışına ilişkin bildirimde bulunulur.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Bildirimde, soruşturma açılış Tebliğine, başvurunun gizli olmayan özetine ve soru formlarına nasıl erişileceği hususunda bilgi verilir.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Bakanlıkça tespit edilememesi nedeniyle bildirim gönderilemeyen veya kendilerine bildirim ulaşmayan diğer ilgili tarafların, soru formuna Ekonomi Bakanlığına ait internet sayfasındaki ilgili bölümden erişmeleri mümkündür.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(4) Soruşturmaya ilişkin yazılı ve sözlü iletişimler Türkçe yapılır. İlgili tarafların soru formuna ilişkin yanıtlarını ve bu yanıtlar dışında kalan tüm bilgi, belge, görüş ve taleplerini yazılı olarak Türkçe sunmaları gerekir.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(5) İlgili taraflar, soru formunda istenilen bilgiler haricinde, soruşturmayla ilgili olduğu düşünülen diğer bilgi, belge ve görüşlerini, destekleyici deliller ile birlikte Genel Müdürlüğe yazılı olarak 9 uncu maddenin ikinci fıkrasında belirtilen süre içerisinde sunabilir.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(6) Soruşturmanın sonucundan etkilenebileceklerini iddia eden; ancak birinci fıkra ve üçüncü fıkra kapsamına girmeyen meslek kuruluşları, tüketici dernekleri, üretim dalındaki işçi veya işveren sendikaları, ürünü girdi olarak kullanan işletmeler gibi diğer ilgili taraflar, görüşlerini Genel Müdürlüğe yazılı olarak 9 uncu maddenin üçüncü fıkrasında belirtilen süre içerisinde sunabilir.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(7) İlgili taraflarca soru formuna verilen cevaplar, soruşturmayla ilgili sunulan diğer bilgi, belge ve görüşler ile destekleyici deliller aksi belirtilmedikçe yazılı olarak sunulur. Yazılı sunumlarda ilgili tarafların isim ve unvanı, adres bilgileri, elektronik posta adresi, telefon ve faks numaraları belirtilir.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(8) Soruşturma süresince Yönetmeliğin 22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Süreler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xml:space="preserve"> (1) 8 inci maddenin birinci fıkrasında belirtilen bildirimin gönderildiği bütün ilgili taraflar için soru formunu cevaplandırma süresi, soruşturmanın açılışına ilişkin bildirimin gönderildiği tarihten itibaren posta süresi dâhil 37 gündür.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8 inci maddenin üçüncü fıkrasında belirtilen bildirimin gönderilmediği bütün ilgili taraflar, soruşturma ile ilgili görüşlerini ve soru formuna ilişkin cevaplarını bu Tebliğin yayımı tarihinden itibaren başlayacak 37 günlük süre içerisinde sunabilir.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(3) Soruşturmanın sonucundan etkilenebileceklerini iddia eden ancak 8 inci maddenin altıncı fıkrası kapsamına giren diğer ilgili taraflar, soruşturma ile ilgili görüşlerini bu Tebliğin yayımı tarihinden itibaren soruşturmanın akışını etkilemeyecek şekilde soruşturma süreci içerisinde sunabilir.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İşbirliğine gelinmemesi</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xml:space="preserve"> (1) Yönetmeliğin 26 </w:t>
                  </w:r>
                  <w:proofErr w:type="spellStart"/>
                  <w:r>
                    <w:rPr>
                      <w:rFonts w:ascii="Times New Roman" w:hAnsi="Times New Roman" w:cs="Times New Roman"/>
                      <w:sz w:val="18"/>
                      <w:szCs w:val="18"/>
                      <w:lang w:eastAsia="tr-TR"/>
                    </w:rPr>
                    <w:t>ncı</w:t>
                  </w:r>
                  <w:proofErr w:type="spellEnd"/>
                  <w:r>
                    <w:rPr>
                      <w:rFonts w:ascii="Times New Roman" w:hAnsi="Times New Roman" w:cs="Times New Roman"/>
                      <w:sz w:val="18"/>
                      <w:szCs w:val="18"/>
                      <w:lang w:eastAsia="tr-TR"/>
                    </w:rPr>
                    <w:t xml:space="preserve"> maddesinde belirtildiği üzere, taraflardan birinin belirtilen süreler içinde gerekli bilgiyi sağlamaması veya yanlış bilgi vermesi ya da bilgi vermeyi reddetmesi veya soruşturmayı engellediğinin anlaşılması halinde soruşturmaya ilişkin karar, olumlu veya olumsuz şekilde mevcut verilere göre alınır.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(2) İlgili tarafların işbirliğine gelmemesi veya kısmen işbirliğine gelmesi halinde bahse konu taraf için soruşturmanın sonucu işbirliğine gelinmesine nazaran daha az avantajlı olabilir.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Yetkili merci ve adresi</w:t>
                  </w:r>
                </w:p>
                <w:p w:rsidR="00BA1C9C" w:rsidRDefault="00BA1C9C">
                  <w:pPr>
                    <w:spacing w:after="113"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xml:space="preserve"> (1) Soruşturmayla ilgili bilgi ve belgeler ile görüşlerin aşağıda belirtilen yetkili mercie iletilmesi gerekir:</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T.C. Ekonomi Bakanlığı</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İthalat Genel Müdürlüğü</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Damping ve Sübvansiyon Araştırma Dairesi</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İnönü Bulvarı No: 36, Emek/ANKARA</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Faks: +90-312-204 86 33</w:t>
                  </w:r>
                </w:p>
                <w:p w:rsidR="00BA1C9C" w:rsidRDefault="00BA1C9C">
                  <w:pPr>
                    <w:spacing w:after="113" w:line="240" w:lineRule="exact"/>
                    <w:ind w:firstLine="566"/>
                    <w:jc w:val="both"/>
                    <w:rPr>
                      <w:rFonts w:ascii="Times New Roman" w:hAnsi="Times New Roman" w:cs="Times New Roman"/>
                      <w:sz w:val="18"/>
                      <w:szCs w:val="18"/>
                      <w:lang w:eastAsia="tr-TR"/>
                    </w:rPr>
                  </w:pPr>
                  <w:r>
                    <w:rPr>
                      <w:rFonts w:ascii="Times New Roman" w:hAnsi="Times New Roman" w:cs="Times New Roman"/>
                      <w:sz w:val="18"/>
                      <w:szCs w:val="18"/>
                      <w:lang w:eastAsia="tr-TR"/>
                    </w:rPr>
                    <w:t xml:space="preserve">E-posta: </w:t>
                  </w:r>
                  <w:hyperlink r:id="rId4" w:history="1">
                    <w:r>
                      <w:rPr>
                        <w:rStyle w:val="Kpr"/>
                        <w:rFonts w:ascii="Times New Roman" w:hAnsi="Times New Roman" w:cs="Times New Roman"/>
                        <w:sz w:val="18"/>
                        <w:szCs w:val="18"/>
                        <w:lang w:eastAsia="tr-TR"/>
                      </w:rPr>
                      <w:t>ngs172@ekonomi.gov.tr</w:t>
                    </w:r>
                  </w:hyperlink>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Soruşturmanın başlangıç tarihi</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xml:space="preserve"> (1) Soruşturma, bu Tebliğin yayımı tarihinde başlamış kabul edilir.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Yürürlük</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lastRenderedPageBreak/>
                    <w:t>MADDE 13 –</w:t>
                  </w:r>
                  <w:r>
                    <w:rPr>
                      <w:rFonts w:ascii="Times New Roman" w:hAnsi="Times New Roman" w:cs="Times New Roman"/>
                      <w:sz w:val="18"/>
                      <w:szCs w:val="18"/>
                      <w:lang w:eastAsia="tr-TR"/>
                    </w:rPr>
                    <w:t xml:space="preserve"> (1) Bu Tebliğ yayımı tarihinde yürürlüğe girer.</w:t>
                  </w:r>
                </w:p>
                <w:p w:rsidR="00BA1C9C" w:rsidRDefault="00BA1C9C">
                  <w:pPr>
                    <w:spacing w:line="240" w:lineRule="exact"/>
                    <w:ind w:firstLine="566"/>
                    <w:jc w:val="both"/>
                    <w:rPr>
                      <w:rFonts w:ascii="Times New Roman" w:hAnsi="Times New Roman" w:cs="Times New Roman"/>
                      <w:b/>
                      <w:bCs/>
                      <w:sz w:val="18"/>
                      <w:szCs w:val="18"/>
                      <w:lang w:eastAsia="tr-TR"/>
                    </w:rPr>
                  </w:pPr>
                  <w:r>
                    <w:rPr>
                      <w:rFonts w:ascii="Times New Roman" w:hAnsi="Times New Roman" w:cs="Times New Roman"/>
                      <w:b/>
                      <w:bCs/>
                      <w:sz w:val="18"/>
                      <w:szCs w:val="18"/>
                      <w:lang w:eastAsia="tr-TR"/>
                    </w:rPr>
                    <w:t>Yürütme</w:t>
                  </w:r>
                </w:p>
                <w:p w:rsidR="00BA1C9C" w:rsidRDefault="00BA1C9C">
                  <w:pPr>
                    <w:spacing w:line="240" w:lineRule="exact"/>
                    <w:ind w:firstLine="566"/>
                    <w:jc w:val="both"/>
                    <w:rPr>
                      <w:rFonts w:ascii="Times New Roman" w:hAnsi="Times New Roman" w:cs="Times New Roman"/>
                      <w:sz w:val="18"/>
                      <w:szCs w:val="18"/>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xml:space="preserve"> (1) Bu Tebliğ hükümlerini Ekonomi Bakanı yürütür.</w:t>
                  </w:r>
                </w:p>
                <w:p w:rsidR="00BA1C9C" w:rsidRDefault="00BA1C9C">
                  <w:pPr>
                    <w:spacing w:before="100" w:beforeAutospacing="1" w:after="100" w:afterAutospacing="1"/>
                    <w:jc w:val="center"/>
                    <w:rPr>
                      <w:rFonts w:ascii="Arial" w:hAnsi="Arial" w:cs="Arial"/>
                      <w:b/>
                      <w:bCs/>
                      <w:color w:val="000080"/>
                      <w:sz w:val="18"/>
                      <w:szCs w:val="18"/>
                      <w:lang w:eastAsia="tr-TR"/>
                    </w:rPr>
                  </w:pPr>
                </w:p>
              </w:tc>
            </w:tr>
          </w:tbl>
          <w:p w:rsidR="00BA1C9C" w:rsidRDefault="00BA1C9C">
            <w:pPr>
              <w:jc w:val="center"/>
              <w:rPr>
                <w:rFonts w:ascii="Times New Roman" w:eastAsia="Times New Roman" w:hAnsi="Times New Roman" w:cs="Times New Roman"/>
                <w:sz w:val="20"/>
                <w:szCs w:val="20"/>
                <w:lang w:eastAsia="tr-TR"/>
              </w:rPr>
            </w:pPr>
          </w:p>
        </w:tc>
      </w:tr>
    </w:tbl>
    <w:p w:rsidR="00BA1C9C" w:rsidRDefault="00BA1C9C" w:rsidP="00BA1C9C">
      <w:pPr>
        <w:jc w:val="center"/>
        <w:rPr>
          <w:rFonts w:ascii="Times New Roman" w:hAnsi="Times New Roman" w:cs="Times New Roman"/>
          <w:sz w:val="24"/>
          <w:szCs w:val="24"/>
          <w:lang w:eastAsia="tr-TR"/>
        </w:rPr>
      </w:pPr>
    </w:p>
    <w:p w:rsidR="00E5473E" w:rsidRDefault="00E5473E">
      <w:bookmarkStart w:id="0" w:name="_GoBack"/>
      <w:bookmarkEnd w:id="0"/>
    </w:p>
    <w:sectPr w:rsidR="00E547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C9C"/>
    <w:rsid w:val="00BA1C9C"/>
    <w:rsid w:val="00E547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70B467-4E1A-4853-9B74-3AACE077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C9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1C9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gs172@ekonomi.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1377</Words>
  <Characters>7851</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2015-10-28T06:29:00Z</dcterms:created>
  <dcterms:modified xsi:type="dcterms:W3CDTF">2015-10-28T06:33:00Z</dcterms:modified>
</cp:coreProperties>
</file>