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AE9" w:rsidRDefault="006F0AE9" w:rsidP="006F0AE9"/>
    <w:tbl>
      <w:tblPr>
        <w:tblW w:w="0" w:type="auto"/>
        <w:jc w:val="center"/>
        <w:tblCellMar>
          <w:left w:w="0" w:type="dxa"/>
          <w:right w:w="0" w:type="dxa"/>
        </w:tblCellMar>
        <w:tblLook w:val="04A0" w:firstRow="1" w:lastRow="0" w:firstColumn="1" w:lastColumn="0" w:noHBand="0" w:noVBand="1"/>
      </w:tblPr>
      <w:tblGrid>
        <w:gridCol w:w="9072"/>
      </w:tblGrid>
      <w:tr w:rsidR="006F0AE9" w:rsidTr="006F0AE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F0AE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F0AE9" w:rsidRDefault="006F0AE9">
                  <w:pPr>
                    <w:spacing w:line="240" w:lineRule="atLeast"/>
                    <w:rPr>
                      <w:rFonts w:ascii="Times New Roman" w:hAnsi="Times New Roman" w:cs="Times New Roman"/>
                      <w:sz w:val="24"/>
                      <w:szCs w:val="24"/>
                      <w:lang w:eastAsia="tr-TR"/>
                    </w:rPr>
                  </w:pPr>
                  <w:r>
                    <w:rPr>
                      <w:rFonts w:ascii="Arial" w:hAnsi="Arial" w:cs="Arial"/>
                      <w:sz w:val="16"/>
                      <w:szCs w:val="16"/>
                      <w:lang w:eastAsia="tr-TR"/>
                    </w:rPr>
                    <w:t>5 Temmuz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F0AE9" w:rsidRDefault="006F0AE9">
                  <w:pPr>
                    <w:spacing w:line="240" w:lineRule="atLeast"/>
                    <w:jc w:val="center"/>
                    <w:rPr>
                      <w:rFonts w:ascii="Times New Roman" w:hAnsi="Times New Roman" w:cs="Times New Roman"/>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F0AE9" w:rsidRDefault="006F0AE9">
                  <w:pPr>
                    <w:spacing w:before="100" w:beforeAutospacing="1" w:after="100" w:afterAutospacing="1"/>
                    <w:jc w:val="right"/>
                    <w:rPr>
                      <w:rFonts w:ascii="Times New Roman" w:hAnsi="Times New Roman" w:cs="Times New Roman"/>
                      <w:sz w:val="24"/>
                      <w:szCs w:val="24"/>
                      <w:lang w:eastAsia="tr-TR"/>
                    </w:rPr>
                  </w:pPr>
                  <w:proofErr w:type="gramStart"/>
                  <w:r>
                    <w:rPr>
                      <w:rFonts w:ascii="Arial" w:hAnsi="Arial" w:cs="Arial"/>
                      <w:sz w:val="16"/>
                      <w:szCs w:val="16"/>
                      <w:lang w:eastAsia="tr-TR"/>
                    </w:rPr>
                    <w:t>Sayı : 30115</w:t>
                  </w:r>
                  <w:proofErr w:type="gramEnd"/>
                </w:p>
              </w:tc>
            </w:tr>
            <w:tr w:rsidR="006F0AE9">
              <w:trPr>
                <w:trHeight w:val="480"/>
                <w:jc w:val="center"/>
              </w:trPr>
              <w:tc>
                <w:tcPr>
                  <w:tcW w:w="8789" w:type="dxa"/>
                  <w:gridSpan w:val="3"/>
                  <w:tcMar>
                    <w:top w:w="0" w:type="dxa"/>
                    <w:left w:w="108" w:type="dxa"/>
                    <w:bottom w:w="0" w:type="dxa"/>
                    <w:right w:w="108" w:type="dxa"/>
                  </w:tcMar>
                  <w:vAlign w:val="center"/>
                  <w:hideMark/>
                </w:tcPr>
                <w:p w:rsidR="006F0AE9" w:rsidRDefault="006F0AE9">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TEBLİĞ</w:t>
                  </w:r>
                </w:p>
              </w:tc>
            </w:tr>
            <w:tr w:rsidR="006F0AE9">
              <w:trPr>
                <w:trHeight w:val="480"/>
                <w:jc w:val="center"/>
              </w:trPr>
              <w:tc>
                <w:tcPr>
                  <w:tcW w:w="8789" w:type="dxa"/>
                  <w:gridSpan w:val="3"/>
                  <w:tcMar>
                    <w:top w:w="0" w:type="dxa"/>
                    <w:left w:w="108" w:type="dxa"/>
                    <w:bottom w:w="0" w:type="dxa"/>
                    <w:right w:w="108" w:type="dxa"/>
                  </w:tcMar>
                  <w:vAlign w:val="center"/>
                  <w:hideMark/>
                </w:tcPr>
                <w:p w:rsidR="006F0AE9" w:rsidRDefault="006F0AE9">
                  <w:pPr>
                    <w:spacing w:line="240" w:lineRule="atLeast"/>
                    <w:ind w:firstLine="566"/>
                    <w:jc w:val="both"/>
                    <w:rPr>
                      <w:rFonts w:ascii="Times New Roman" w:hAnsi="Times New Roman" w:cs="Times New Roman"/>
                      <w:u w:val="single"/>
                      <w:lang w:eastAsia="tr-TR"/>
                    </w:rPr>
                  </w:pPr>
                  <w:r>
                    <w:rPr>
                      <w:rFonts w:ascii="Times New Roman" w:hAnsi="Times New Roman" w:cs="Times New Roman"/>
                      <w:sz w:val="18"/>
                      <w:szCs w:val="18"/>
                      <w:u w:val="single"/>
                      <w:lang w:eastAsia="tr-TR"/>
                    </w:rPr>
                    <w:t>Ekonomi Bakanlığından:</w:t>
                  </w:r>
                </w:p>
                <w:p w:rsidR="006F0AE9" w:rsidRDefault="006F0AE9">
                  <w:pPr>
                    <w:spacing w:before="56"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İTHALATTA HAKSIZ REKABETİN ÖNLENMESİNE İLİŞKİN TEBLİĞ</w:t>
                  </w:r>
                </w:p>
                <w:p w:rsidR="006F0AE9" w:rsidRDefault="006F0AE9">
                  <w:pPr>
                    <w:spacing w:after="170"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(TEBLİĞ NO: 2017/15)</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Amaç ve kapsam</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 –</w:t>
                  </w:r>
                  <w:r>
                    <w:rPr>
                      <w:rFonts w:ascii="Times New Roman" w:hAnsi="Times New Roman" w:cs="Times New Roman"/>
                      <w:sz w:val="18"/>
                      <w:szCs w:val="18"/>
                      <w:lang w:eastAsia="tr-TR"/>
                    </w:rPr>
                    <w:t> (1) Bu Tebliğin amacı, Derya Granit ve Mermer San. Dış Tic. Ltd. Şti</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Granitaş</w:t>
                  </w:r>
                  <w:proofErr w:type="spellEnd"/>
                  <w:r>
                    <w:rPr>
                      <w:rFonts w:ascii="Times New Roman" w:hAnsi="Times New Roman" w:cs="Times New Roman"/>
                      <w:sz w:val="18"/>
                      <w:szCs w:val="18"/>
                      <w:lang w:eastAsia="tr-TR"/>
                    </w:rPr>
                    <w:t xml:space="preserve"> Granit Sanayi ve Pazarlama A.Ş., </w:t>
                  </w:r>
                  <w:proofErr w:type="spellStart"/>
                  <w:r>
                    <w:rPr>
                      <w:rFonts w:ascii="Times New Roman" w:hAnsi="Times New Roman" w:cs="Times New Roman"/>
                      <w:sz w:val="18"/>
                      <w:szCs w:val="18"/>
                      <w:lang w:eastAsia="tr-TR"/>
                    </w:rPr>
                    <w:t>Granitaş</w:t>
                  </w:r>
                  <w:proofErr w:type="spellEnd"/>
                  <w:r>
                    <w:rPr>
                      <w:rFonts w:ascii="Times New Roman" w:hAnsi="Times New Roman" w:cs="Times New Roman"/>
                      <w:sz w:val="18"/>
                      <w:szCs w:val="18"/>
                      <w:lang w:eastAsia="tr-TR"/>
                    </w:rPr>
                    <w:t xml:space="preserve"> Anadolu Granitleri San. ve Tic. A.Ş</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Granitürk</w:t>
                  </w:r>
                  <w:proofErr w:type="spellEnd"/>
                  <w:r>
                    <w:rPr>
                      <w:rFonts w:ascii="Times New Roman" w:hAnsi="Times New Roman" w:cs="Times New Roman"/>
                      <w:sz w:val="18"/>
                      <w:szCs w:val="18"/>
                      <w:lang w:eastAsia="tr-TR"/>
                    </w:rPr>
                    <w:t xml:space="preserve"> İnşaat Maden Nakliye Turizm Akaryakıt Kömür Gıda San. </w:t>
                  </w:r>
                  <w:proofErr w:type="gramStart"/>
                  <w:r>
                    <w:rPr>
                      <w:rFonts w:ascii="Times New Roman" w:hAnsi="Times New Roman" w:cs="Times New Roman"/>
                      <w:sz w:val="18"/>
                      <w:szCs w:val="18"/>
                      <w:lang w:eastAsia="tr-TR"/>
                    </w:rPr>
                    <w:t>ve</w:t>
                  </w:r>
                  <w:proofErr w:type="gramEnd"/>
                  <w:r>
                    <w:rPr>
                      <w:rFonts w:ascii="Times New Roman" w:hAnsi="Times New Roman" w:cs="Times New Roman"/>
                      <w:sz w:val="18"/>
                      <w:szCs w:val="18"/>
                      <w:lang w:eastAsia="tr-TR"/>
                    </w:rPr>
                    <w:t xml:space="preserve"> Tic. A.Ş. ve Van Mermer ve Madencilik Sanayi A.Ş. tarafından gerçekleştirilen başvuruya istinaden Çin Halk Cumhuriyeti menşeli “granit” ürününe yönelik yürürlükte bulunan dampinge karşı kesin önleme ilişkin olarak nihai gözden geçirme soruşturması açılması ve açılan soruşturmanın usul ve esaslarının belirlenmesidir.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Dayanak</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 –</w:t>
                  </w:r>
                  <w:r>
                    <w:rPr>
                      <w:rFonts w:ascii="Times New Roman" w:hAnsi="Times New Roman" w:cs="Times New Roman"/>
                      <w:sz w:val="18"/>
                      <w:szCs w:val="18"/>
                      <w:lang w:eastAsia="tr-TR"/>
                    </w:rPr>
                    <w:t xml:space="preserve"> (1) Bu Tebliğ,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Yönetmeliğe dayanılarak hazırlanmıştır.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Tanımlar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3 –</w:t>
                  </w:r>
                  <w:r>
                    <w:rPr>
                      <w:rFonts w:ascii="Times New Roman" w:hAnsi="Times New Roman" w:cs="Times New Roman"/>
                      <w:sz w:val="18"/>
                      <w:szCs w:val="18"/>
                      <w:lang w:eastAsia="tr-TR"/>
                    </w:rPr>
                    <w:t> (1) Bu Tebliğde geçen;</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a) Bakanlık: Ekonomi Bakanlığını,</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 ÇHC: Çin Halk Cumhuriyetini,</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c) Genel Müdürlük: Bakanlık İthalat Genel Müdürlüğünü,</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ç) GTP: Gümrük tarife pozisyonunu,</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 NGGS: Nihai Gözden Geçirme Soruşturmasını,</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 Vietnam: Vietnam Sosyalist Cumhuriyetini,</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f) Yönetmelik: </w:t>
                  </w:r>
                  <w:proofErr w:type="gramStart"/>
                  <w:r>
                    <w:rPr>
                      <w:rFonts w:ascii="Times New Roman" w:hAnsi="Times New Roman" w:cs="Times New Roman"/>
                      <w:sz w:val="18"/>
                      <w:szCs w:val="18"/>
                      <w:lang w:eastAsia="tr-TR"/>
                    </w:rPr>
                    <w:t>30/10/1999</w:t>
                  </w:r>
                  <w:proofErr w:type="gramEnd"/>
                  <w:r>
                    <w:rPr>
                      <w:rFonts w:ascii="Times New Roman" w:hAnsi="Times New Roman" w:cs="Times New Roman"/>
                      <w:sz w:val="18"/>
                      <w:szCs w:val="18"/>
                      <w:lang w:eastAsia="tr-TR"/>
                    </w:rPr>
                    <w:t xml:space="preserve">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Yönetmeliği,</w:t>
                  </w:r>
                </w:p>
                <w:p w:rsidR="006F0AE9" w:rsidRDefault="006F0AE9">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ifade</w:t>
                  </w:r>
                  <w:proofErr w:type="gramEnd"/>
                  <w:r>
                    <w:rPr>
                      <w:rFonts w:ascii="Times New Roman" w:hAnsi="Times New Roman" w:cs="Times New Roman"/>
                      <w:sz w:val="18"/>
                      <w:szCs w:val="18"/>
                      <w:lang w:eastAsia="tr-TR"/>
                    </w:rPr>
                    <w:t xml:space="preserve"> eder.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Önleme tabi ürün</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4 –</w:t>
                  </w:r>
                  <w:r>
                    <w:rPr>
                      <w:rFonts w:ascii="Times New Roman" w:hAnsi="Times New Roman" w:cs="Times New Roman"/>
                      <w:sz w:val="18"/>
                      <w:szCs w:val="18"/>
                      <w:lang w:eastAsia="tr-TR"/>
                    </w:rPr>
                    <w:t xml:space="preserve"> (1) Önleme tabi ürün, </w:t>
                  </w:r>
                  <w:proofErr w:type="gramStart"/>
                  <w:r>
                    <w:rPr>
                      <w:rFonts w:ascii="Times New Roman" w:hAnsi="Times New Roman" w:cs="Times New Roman"/>
                      <w:sz w:val="18"/>
                      <w:szCs w:val="18"/>
                      <w:lang w:eastAsia="tr-TR"/>
                    </w:rPr>
                    <w:t>6802.23</w:t>
                  </w:r>
                  <w:proofErr w:type="gramEnd"/>
                  <w:r>
                    <w:rPr>
                      <w:rFonts w:ascii="Times New Roman" w:hAnsi="Times New Roman" w:cs="Times New Roman"/>
                      <w:sz w:val="18"/>
                      <w:szCs w:val="18"/>
                      <w:lang w:eastAsia="tr-TR"/>
                    </w:rPr>
                    <w:t xml:space="preserve"> ve 6802.93 </w:t>
                  </w:r>
                  <w:proofErr w:type="spellStart"/>
                  <w:r>
                    <w:rPr>
                      <w:rFonts w:ascii="Times New Roman" w:hAnsi="Times New Roman" w:cs="Times New Roman"/>
                      <w:sz w:val="18"/>
                      <w:szCs w:val="18"/>
                      <w:lang w:eastAsia="tr-TR"/>
                    </w:rPr>
                    <w:t>GTP’ler</w:t>
                  </w:r>
                  <w:proofErr w:type="spellEnd"/>
                  <w:r>
                    <w:rPr>
                      <w:rFonts w:ascii="Times New Roman" w:hAnsi="Times New Roman" w:cs="Times New Roman"/>
                      <w:sz w:val="18"/>
                      <w:szCs w:val="18"/>
                      <w:lang w:eastAsia="tr-TR"/>
                    </w:rPr>
                    <w:t xml:space="preserve"> altında yer alan “</w:t>
                  </w:r>
                  <w:proofErr w:type="spellStart"/>
                  <w:r>
                    <w:rPr>
                      <w:rFonts w:ascii="Times New Roman" w:hAnsi="Times New Roman" w:cs="Times New Roman"/>
                      <w:sz w:val="18"/>
                      <w:szCs w:val="18"/>
                      <w:lang w:eastAsia="tr-TR"/>
                    </w:rPr>
                    <w:t>Granit”tir</w:t>
                  </w:r>
                  <w:proofErr w:type="spellEnd"/>
                  <w:r>
                    <w:rPr>
                      <w:rFonts w:ascii="Times New Roman" w:hAnsi="Times New Roman" w:cs="Times New Roman"/>
                      <w:sz w:val="18"/>
                      <w:szCs w:val="18"/>
                      <w:lang w:eastAsia="tr-TR"/>
                    </w:rPr>
                    <w:t>.</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(2) Bahse konu </w:t>
                  </w:r>
                  <w:proofErr w:type="spellStart"/>
                  <w:r>
                    <w:rPr>
                      <w:rFonts w:ascii="Times New Roman" w:hAnsi="Times New Roman" w:cs="Times New Roman"/>
                      <w:sz w:val="18"/>
                      <w:szCs w:val="18"/>
                      <w:lang w:eastAsia="tr-TR"/>
                    </w:rPr>
                    <w:t>GTP’ler</w:t>
                  </w:r>
                  <w:proofErr w:type="spellEnd"/>
                  <w:r>
                    <w:rPr>
                      <w:rFonts w:ascii="Times New Roman" w:hAnsi="Times New Roman" w:cs="Times New Roman"/>
                      <w:sz w:val="18"/>
                      <w:szCs w:val="18"/>
                      <w:lang w:eastAsia="tr-TR"/>
                    </w:rPr>
                    <w:t xml:space="preserve"> yalnızca bilgi amaçlı verilmiş olup bağlayıcı mahiyette değildir.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Önleme tabi ürünün Türk Gümrük Tarife Cetvelinde yer alan tarife pozisyonunda ve/veya eşya tanımında yapılacak değişiklikler bu Tebliğ hükümlerinin uygulanmasına engel teşkil etmez.</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Başvurunun temsil niteliği</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5 –</w:t>
                  </w:r>
                  <w:r>
                    <w:rPr>
                      <w:rFonts w:ascii="Times New Roman" w:hAnsi="Times New Roman" w:cs="Times New Roman"/>
                      <w:sz w:val="18"/>
                      <w:szCs w:val="18"/>
                      <w:lang w:eastAsia="tr-TR"/>
                    </w:rPr>
                    <w:t xml:space="preserve"> (1) Başvuru aşamasında sunulan delillerden, başvuru sahibi firmaların Yönetmeliğin 18 inci ve 20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maddeleri çerçevesinde yerli üretim dalını temsil niteliğini haiz oldukları anlaşılmıştır. Bu kapsamda, başvuru sahibi firmalar bu Tebliğin ilgili bölümlerinde “yerli üretim dalı” olarak anılacaktır.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Mevcut önlem</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6 –</w:t>
                  </w:r>
                  <w:r>
                    <w:rPr>
                      <w:rFonts w:ascii="Times New Roman" w:hAnsi="Times New Roman" w:cs="Times New Roman"/>
                      <w:sz w:val="18"/>
                      <w:szCs w:val="18"/>
                      <w:lang w:eastAsia="tr-TR"/>
                    </w:rPr>
                    <w:t xml:space="preserve"> (1) ÇHC menşeli </w:t>
                  </w:r>
                  <w:proofErr w:type="gramStart"/>
                  <w:r>
                    <w:rPr>
                      <w:rFonts w:ascii="Times New Roman" w:hAnsi="Times New Roman" w:cs="Times New Roman"/>
                      <w:sz w:val="18"/>
                      <w:szCs w:val="18"/>
                      <w:lang w:eastAsia="tr-TR"/>
                    </w:rPr>
                    <w:t>6802.23</w:t>
                  </w:r>
                  <w:proofErr w:type="gramEnd"/>
                  <w:r>
                    <w:rPr>
                      <w:rFonts w:ascii="Times New Roman" w:hAnsi="Times New Roman" w:cs="Times New Roman"/>
                      <w:sz w:val="18"/>
                      <w:szCs w:val="18"/>
                      <w:lang w:eastAsia="tr-TR"/>
                    </w:rPr>
                    <w:t xml:space="preserve"> ve 6802.93 </w:t>
                  </w:r>
                  <w:proofErr w:type="spellStart"/>
                  <w:r>
                    <w:rPr>
                      <w:rFonts w:ascii="Times New Roman" w:hAnsi="Times New Roman" w:cs="Times New Roman"/>
                      <w:sz w:val="18"/>
                      <w:szCs w:val="18"/>
                      <w:lang w:eastAsia="tr-TR"/>
                    </w:rPr>
                    <w:t>GTP’ler</w:t>
                  </w:r>
                  <w:proofErr w:type="spellEnd"/>
                  <w:r>
                    <w:rPr>
                      <w:rFonts w:ascii="Times New Roman" w:hAnsi="Times New Roman" w:cs="Times New Roman"/>
                      <w:sz w:val="18"/>
                      <w:szCs w:val="18"/>
                      <w:lang w:eastAsia="tr-TR"/>
                    </w:rPr>
                    <w:t xml:space="preserve"> altında yer alan “granit” ürününe yönelik olarak 14/9/2006 tarihli ve 26289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2006/25) ile 90 ABD Doları/Ton seviyesinde dampinge karşı kesin önlem yürürlüğe konulmuştur.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(2) </w:t>
                  </w:r>
                  <w:proofErr w:type="gramStart"/>
                  <w:r>
                    <w:rPr>
                      <w:rFonts w:ascii="Times New Roman" w:hAnsi="Times New Roman" w:cs="Times New Roman"/>
                      <w:sz w:val="18"/>
                      <w:szCs w:val="18"/>
                      <w:lang w:eastAsia="tr-TR"/>
                    </w:rPr>
                    <w:t>28/7/2011</w:t>
                  </w:r>
                  <w:proofErr w:type="gramEnd"/>
                  <w:r>
                    <w:rPr>
                      <w:rFonts w:ascii="Times New Roman" w:hAnsi="Times New Roman" w:cs="Times New Roman"/>
                      <w:sz w:val="18"/>
                      <w:szCs w:val="18"/>
                      <w:lang w:eastAsia="tr-TR"/>
                    </w:rPr>
                    <w:t xml:space="preserve"> tarihli ve 28008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2011/13) ile başlatılan NGGS, 10/7/2012 tarihli ve 28349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2012/14) ile sonuçlandırılmış ve dampinge karşı kesin önlem 174 ABD Doları/Ton seviyesine çıkarılarak önlemin uygulanmasına devam edilmiştir.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(3) Önleme tabi ürünün Vietnam üzerinden ülkemize ihraç edilerek mevcut önlemin etkisiz kılındığına yönelik iddiaların araştırılması için </w:t>
                  </w:r>
                  <w:proofErr w:type="gramStart"/>
                  <w:r>
                    <w:rPr>
                      <w:rFonts w:ascii="Times New Roman" w:hAnsi="Times New Roman" w:cs="Times New Roman"/>
                      <w:sz w:val="18"/>
                      <w:szCs w:val="18"/>
                      <w:lang w:eastAsia="tr-TR"/>
                    </w:rPr>
                    <w:t>12/12/2014</w:t>
                  </w:r>
                  <w:proofErr w:type="gramEnd"/>
                  <w:r>
                    <w:rPr>
                      <w:rFonts w:ascii="Times New Roman" w:hAnsi="Times New Roman" w:cs="Times New Roman"/>
                      <w:sz w:val="18"/>
                      <w:szCs w:val="18"/>
                      <w:lang w:eastAsia="tr-TR"/>
                    </w:rPr>
                    <w:t xml:space="preserve"> tarihli ve 29203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2014/42) ile Vietnam menşeli granit ithalatına yönelik olarak başlatılan soruşturma neticesinde 17/2/2016 tarihli ve 29627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2016/4) ile mevcut önlemin teşmil edilmesine karar verilmiştir.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Gerekçe</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7 –</w:t>
                  </w:r>
                  <w:r>
                    <w:rPr>
                      <w:rFonts w:ascii="Times New Roman" w:hAnsi="Times New Roman" w:cs="Times New Roman"/>
                      <w:sz w:val="18"/>
                      <w:szCs w:val="18"/>
                      <w:lang w:eastAsia="tr-TR"/>
                    </w:rPr>
                    <w:t xml:space="preserve"> (1) Yönetmeliğin 35 inci maddesinin ikinci fıkrası hükmünce, </w:t>
                  </w:r>
                  <w:proofErr w:type="gramStart"/>
                  <w:r>
                    <w:rPr>
                      <w:rFonts w:ascii="Times New Roman" w:hAnsi="Times New Roman" w:cs="Times New Roman"/>
                      <w:sz w:val="18"/>
                      <w:szCs w:val="18"/>
                      <w:lang w:eastAsia="tr-TR"/>
                    </w:rPr>
                    <w:t>12/1/2017</w:t>
                  </w:r>
                  <w:proofErr w:type="gramEnd"/>
                  <w:r>
                    <w:rPr>
                      <w:rFonts w:ascii="Times New Roman" w:hAnsi="Times New Roman" w:cs="Times New Roman"/>
                      <w:sz w:val="18"/>
                      <w:szCs w:val="18"/>
                      <w:lang w:eastAsia="tr-TR"/>
                    </w:rPr>
                    <w:t xml:space="preserve"> tarihli ve 29946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2017/2) ile mevcut önlemlerin yürürlükten kalkacağı ve ilgili ürünün yerli üreticilerinin mevzuatta öngörülen sürelerde yeterli delillerle desteklenmiş bir başvuru ile NGGS açılması talebinde bulunabilecekleri duyurulmuştur.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lastRenderedPageBreak/>
                    <w:t xml:space="preserve">(2) Mezkûr ilanı müteakip yerli üretim dalı tarafından iletilen başvuruların incelenmesi neticesinde, ÇHC menşeli önleme konu ürün için uygulanan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önlemin yürürlükten kalkması halinde dampingin ve zararın devam etmesi veya yeniden meydana gelmesinin muhtemel olduğuna ilişkin olarak bir NGGS açılmasını haklı kılacak bilgi, belge ve delillerin mevcut olduğu anlaşılmıştır.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Karar ve işlemler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8 –</w:t>
                  </w:r>
                  <w:r>
                    <w:rPr>
                      <w:rFonts w:ascii="Times New Roman" w:hAnsi="Times New Roman" w:cs="Times New Roman"/>
                      <w:sz w:val="18"/>
                      <w:szCs w:val="18"/>
                      <w:lang w:eastAsia="tr-TR"/>
                    </w:rPr>
                    <w:t> (1) Yapılan inceleme sonucunda; bir NGGS açılabilmesi için yeterli bilgi, belge ve delillerin bulunduğu anlaşıldığından, İthalatta Haksız Rekabeti Değerlendirme Kurulu tarafından ÇHC menşeli önlem konusu ürüne yönelik olarak Yönetmeliğin 35 inci maddesi çerçevesinde bir NGGS açılmasına karar verilmiştir.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Soruşturma, Genel Müdürlük tarafından yürütülür.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Piyasa ekonomisi değerlendirmesi</w:t>
                  </w:r>
                </w:p>
                <w:p w:rsidR="006F0AE9" w:rsidRDefault="006F0AE9">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b/>
                      <w:bCs/>
                      <w:sz w:val="18"/>
                      <w:szCs w:val="18"/>
                      <w:lang w:eastAsia="tr-TR"/>
                    </w:rPr>
                    <w:t>MADDE 9 –</w:t>
                  </w:r>
                  <w:r>
                    <w:rPr>
                      <w:rFonts w:ascii="Times New Roman" w:hAnsi="Times New Roman" w:cs="Times New Roman"/>
                      <w:sz w:val="18"/>
                      <w:szCs w:val="18"/>
                      <w:lang w:eastAsia="tr-TR"/>
                    </w:rPr>
                    <w:t xml:space="preserve"> (1) </w:t>
                  </w:r>
                  <w:proofErr w:type="spellStart"/>
                  <w:r>
                    <w:rPr>
                      <w:rFonts w:ascii="Times New Roman" w:hAnsi="Times New Roman" w:cs="Times New Roman"/>
                      <w:sz w:val="18"/>
                      <w:szCs w:val="18"/>
                      <w:lang w:eastAsia="tr-TR"/>
                    </w:rPr>
                    <w:t>ÇHC’de</w:t>
                  </w:r>
                  <w:proofErr w:type="spellEnd"/>
                  <w:r>
                    <w:rPr>
                      <w:rFonts w:ascii="Times New Roman" w:hAnsi="Times New Roman" w:cs="Times New Roman"/>
                      <w:sz w:val="18"/>
                      <w:szCs w:val="18"/>
                      <w:lang w:eastAsia="tr-TR"/>
                    </w:rPr>
                    <w:t xml:space="preserve"> yerleşik soruşturmaya tabi üretici veya üreticilerin soruşturma konusu ürünün üretiminde ve satışında Yönetmeliğin Ek 1 inci maddesindeki ölçütler çerçevesinde piyasa ekonomisi koşullarının geçerli olduğunu 11 inci maddede belirtilen süreler içinde yeterli deliller ile ispat etmesi durumunda bu üretici veya üreticiler için normal değerin tespitinde Yönetmeliğin 5 inci maddesi, aksi takdirde Yönetmeliğin 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hükümleri uygulanır. </w:t>
                  </w:r>
                  <w:proofErr w:type="gramEnd"/>
                  <w:r>
                    <w:rPr>
                      <w:rFonts w:ascii="Times New Roman" w:hAnsi="Times New Roman" w:cs="Times New Roman"/>
                      <w:sz w:val="18"/>
                      <w:szCs w:val="18"/>
                      <w:lang w:eastAsia="tr-TR"/>
                    </w:rPr>
                    <w:t xml:space="preserve">Yönetmeliğin 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hükümlerinin tatbiki halinde adı geçen ülkeler için piyasa ekonomisi uygulayan emsal ülke olarak Türkiye’nin seçilmesi öngörülür.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 formları ve bilgilerin toplanması</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10 –</w:t>
                  </w:r>
                  <w:r>
                    <w:rPr>
                      <w:rFonts w:ascii="Times New Roman" w:hAnsi="Times New Roman" w:cs="Times New Roman"/>
                      <w:sz w:val="18"/>
                      <w:szCs w:val="18"/>
                      <w:lang w:eastAsia="tr-TR"/>
                    </w:rPr>
                    <w:t> (1) Soruşturma açılmasını müteakip, başvuruda belirtilen ve Bakanlıkça tespit edilen soruşturmaya konu ürünün bilinen ithalatçılarına, soruşturma konusu ülkede yerleşik bilinen üretici/ihracatçılarına ve soruşturmaya konu ülkenin Ankara’daki Büyükelçiliğine soruşturmanın açılışına ilişkin bildirimde bulunulur.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Bildirimde, soruşturma açılış Tebliği, başvurunun gizli olmayan özeti ve soru formlarına erişim hususunda bilgiye yer verilir.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Bakanlıkça tespit edilememesi nedeniyle bildirim gönderilemeyen veya kendilerine bildirim ulaşmayan diğer ilgili tarafların soru formuna Bakanlığın internet sayfasındaki ilgili bölümden erişmeleri mümkündür.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Soruşturmaya ilişkin yazılı ve sözlü iletişim Türkçe yapılır. İlgili tarafların soru formuna ilişkin yanıtlarını ve bu yanıtlar dışında kalan tüm bilgi, belge, görüş ve taleplerini yazılı olarak Türkçe sunmaları gerekir. Türkçe dışında bir dilde sunulan yanıt, bilgi, belge, görüş ve talepler dikkate alınmaz.</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(5) İlgili taraflar, soru formunda istenilen bilgiler haricinde soruşturmayla ilgili olduğu düşünülen diğer bilgi, belge ve görüşlerini, destekleyici deliller ile birlikte Genel Müdürlüğe yazılı olarak 11 inci maddenin ikinci fıkrasında belirtilen süre içerisinde sunabilir.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(6) Soruşturmanın sonucundan etkilenebileceklerini iddia eden; ancak bu maddenin birinci fıkra ve üçüncü fıkra kapsamına girmeyen meslek kuruluşları, tüketici dernekleri, üretim dalındaki işçi veya işveren sendikaları, ürünü girdi olarak kullanan işletmeler gibi diğer ilgili taraflar görüşlerini Genel Müdürlüğe yazılı olarak 11 inci maddenin üçüncü fıkrasında belirtilen süre içerisinde sunabilir.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(7) İlgili taraflarca soru formuna verilen cevaplar, soruşturmayla ilgili sunulan diğer bilgi, belge ve görüşler ile destekleyici deliller aksi belirtilmedikçe yazılı olarak sunulur. Yazılı sunumlarda ilgili tarafların isim ve unvanı, adres bilgileri, elektronik posta adresi, telefon ve faks numaraları belirtilir.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(8) Soruşturma süresince Yönetmeliğin 22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Süreler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11 –</w:t>
                  </w:r>
                  <w:r>
                    <w:rPr>
                      <w:rFonts w:ascii="Times New Roman" w:hAnsi="Times New Roman" w:cs="Times New Roman"/>
                      <w:sz w:val="18"/>
                      <w:szCs w:val="18"/>
                      <w:lang w:eastAsia="tr-TR"/>
                    </w:rPr>
                    <w:t> (1) 10 uncu maddenin birinci fıkrasında belirtilen bildirimin gönderildiği bütün ilgili taraflar için soru formunu cevaplandırma süresi, soruşturmanın açılışına ilişkin bildirimin gönderildiği tarihten itibaren posta süresi dâhil 37 gündür.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10 uncu maddenin üçüncü fıkrasında yer alan bildirimin gönderilemediği ilgili taraflar ile beşinci fıkrasında belirtilen bütün ilgili taraflar, soruşturma ile ilgili görüşlerini ve soru formuna ilişkin cevaplarını Tebliğin yayımı tarihinden itibaren başlayacak 37 günlük süre içerisinde sunabilir.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Soruşturmanın sonucundan etkilenebileceklerini iddia eden 10 uncu maddenin altıncı fıkrası kapsamına giren diğer ilgili taraflar, soruşturma ile ilgili görüşlerini bu Tebliğin yayımı tarihinden itibaren soruşturmanın akışını etkilemeyecek şekilde soruşturma süreci içerisinde sunabilir.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İşbirliğine gelinmemesi</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12 –</w:t>
                  </w:r>
                  <w:r>
                    <w:rPr>
                      <w:rFonts w:ascii="Times New Roman" w:hAnsi="Times New Roman" w:cs="Times New Roman"/>
                      <w:sz w:val="18"/>
                      <w:szCs w:val="18"/>
                      <w:lang w:eastAsia="tr-TR"/>
                    </w:rPr>
                    <w:t xml:space="preserve"> (1) Yönetmeliğin 26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xml:space="preserve">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şekilde, mevcut verilere göre yapılır.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lastRenderedPageBreak/>
                    <w:t>(2) İlgili tarafların işbirliğine gelmemesi veya kısmen işbirliğine gelmesi halinde bahse konu taraf için soruşturmanın sonucu işbirliğine gelinmesine nazaran daha az avantajlı olabilir.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Meri önlemin uygulanması</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13 –</w:t>
                  </w:r>
                  <w:r>
                    <w:rPr>
                      <w:rFonts w:ascii="Times New Roman" w:hAnsi="Times New Roman" w:cs="Times New Roman"/>
                      <w:sz w:val="18"/>
                      <w:szCs w:val="18"/>
                      <w:lang w:eastAsia="tr-TR"/>
                    </w:rPr>
                    <w:t> (1) Yönetmeliğin 35 inci maddesinin dördüncü fıkrası uyarınca meri önlem soruşturma sonuçlanıncaya kadar yürürlükte kalmaya devam eder.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Yetkili merci ve adresi</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14 –</w:t>
                  </w:r>
                  <w:r>
                    <w:rPr>
                      <w:rFonts w:ascii="Times New Roman" w:hAnsi="Times New Roman" w:cs="Times New Roman"/>
                      <w:sz w:val="18"/>
                      <w:szCs w:val="18"/>
                      <w:lang w:eastAsia="tr-TR"/>
                    </w:rPr>
                    <w:t> (1) Soruşturmayla ilgili bilgi ve belgeler ile görüşlerin aşağıda belirtilen yetkili mercie iletilmesi gerekir.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T.C. Ekonomi Bakanlığı</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İthalat Genel Müdürlüğü</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Damping ve Sübvansiyon Araştırma Dairesi</w:t>
                  </w:r>
                </w:p>
                <w:p w:rsidR="006F0AE9" w:rsidRDefault="006F0AE9">
                  <w:pPr>
                    <w:spacing w:line="240" w:lineRule="atLeast"/>
                    <w:ind w:firstLine="566"/>
                    <w:jc w:val="both"/>
                    <w:rPr>
                      <w:rFonts w:ascii="Times New Roman" w:hAnsi="Times New Roman" w:cs="Times New Roman"/>
                      <w:sz w:val="19"/>
                      <w:szCs w:val="19"/>
                      <w:lang w:eastAsia="tr-TR"/>
                    </w:rPr>
                  </w:pPr>
                  <w:proofErr w:type="spellStart"/>
                  <w:r>
                    <w:rPr>
                      <w:rFonts w:ascii="Times New Roman" w:hAnsi="Times New Roman" w:cs="Times New Roman"/>
                      <w:sz w:val="18"/>
                      <w:szCs w:val="18"/>
                      <w:lang w:eastAsia="tr-TR"/>
                    </w:rPr>
                    <w:t>Söğütözü</w:t>
                  </w:r>
                  <w:proofErr w:type="spellEnd"/>
                  <w:r>
                    <w:rPr>
                      <w:rFonts w:ascii="Times New Roman" w:hAnsi="Times New Roman" w:cs="Times New Roman"/>
                      <w:sz w:val="18"/>
                      <w:szCs w:val="18"/>
                      <w:lang w:eastAsia="tr-TR"/>
                    </w:rPr>
                    <w:t xml:space="preserve"> Mah. 2176 Cad. No:63 Çankaya/ANKARA</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Faks: +90 312 204 86 33</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E-posta: </w:t>
                  </w:r>
                  <w:hyperlink r:id="rId4" w:history="1">
                    <w:r>
                      <w:rPr>
                        <w:rStyle w:val="Kpr"/>
                        <w:rFonts w:ascii="Times New Roman" w:hAnsi="Times New Roman" w:cs="Times New Roman"/>
                        <w:sz w:val="18"/>
                        <w:szCs w:val="18"/>
                        <w:lang w:eastAsia="tr-TR"/>
                      </w:rPr>
                      <w:t>ngs186@ekonomi.gov.tr</w:t>
                    </w:r>
                  </w:hyperlink>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Soruşturmanın başlangıç tarihi</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15 –</w:t>
                  </w:r>
                  <w:r>
                    <w:rPr>
                      <w:rFonts w:ascii="Times New Roman" w:hAnsi="Times New Roman" w:cs="Times New Roman"/>
                      <w:sz w:val="18"/>
                      <w:szCs w:val="18"/>
                      <w:lang w:eastAsia="tr-TR"/>
                    </w:rPr>
                    <w:t> (1) Soruşturma, bu Tebliğin yayımı tarihinde başlamış kabul edilir.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Yürürlük</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16 –</w:t>
                  </w:r>
                  <w:r>
                    <w:rPr>
                      <w:rFonts w:ascii="Times New Roman" w:hAnsi="Times New Roman" w:cs="Times New Roman"/>
                      <w:sz w:val="18"/>
                      <w:szCs w:val="18"/>
                      <w:lang w:eastAsia="tr-TR"/>
                    </w:rPr>
                    <w:t> (1) Bu Tebliğ yayımı tarihinde yürürlüğe girer.</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Yürütme</w:t>
                  </w:r>
                </w:p>
                <w:p w:rsidR="006F0AE9" w:rsidRDefault="006F0AE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17 –</w:t>
                  </w:r>
                  <w:r>
                    <w:rPr>
                      <w:rFonts w:ascii="Times New Roman" w:hAnsi="Times New Roman" w:cs="Times New Roman"/>
                      <w:sz w:val="18"/>
                      <w:szCs w:val="18"/>
                      <w:lang w:eastAsia="tr-TR"/>
                    </w:rPr>
                    <w:t> (1) Bu Tebliğ hükümlerini Ekonomi Bakanı yürütür.</w:t>
                  </w:r>
                </w:p>
                <w:p w:rsidR="006F0AE9" w:rsidRDefault="006F0AE9">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 </w:t>
                  </w:r>
                </w:p>
              </w:tc>
            </w:tr>
          </w:tbl>
          <w:p w:rsidR="006F0AE9" w:rsidRDefault="006F0AE9">
            <w:pPr>
              <w:jc w:val="center"/>
              <w:rPr>
                <w:rFonts w:ascii="Times New Roman" w:eastAsia="Times New Roman" w:hAnsi="Times New Roman" w:cs="Times New Roman"/>
                <w:sz w:val="20"/>
                <w:szCs w:val="20"/>
                <w:lang w:eastAsia="tr-TR"/>
              </w:rPr>
            </w:pPr>
          </w:p>
        </w:tc>
      </w:tr>
    </w:tbl>
    <w:p w:rsidR="003D48E1" w:rsidRDefault="003D48E1">
      <w:bookmarkStart w:id="0" w:name="_GoBack"/>
      <w:bookmarkEnd w:id="0"/>
    </w:p>
    <w:sectPr w:rsidR="003D4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E9"/>
    <w:rsid w:val="003D48E1"/>
    <w:rsid w:val="006F0A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34679-E526-4ACC-B743-4479712B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AE9"/>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F0A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29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gs186@ekonom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1541</Words>
  <Characters>8787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2017-07-05T06:09:00Z</dcterms:created>
  <dcterms:modified xsi:type="dcterms:W3CDTF">2017-07-05T06:11:00Z</dcterms:modified>
</cp:coreProperties>
</file>