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E26C84" w:rsidTr="00E26C8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26C8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6C84" w:rsidRDefault="00E26C84">
                  <w:pPr>
                    <w:spacing w:line="240" w:lineRule="atLeast"/>
                    <w:rPr>
                      <w:rFonts w:ascii="Times New Roman" w:hAnsi="Times New Roman"/>
                      <w:sz w:val="24"/>
                      <w:szCs w:val="24"/>
                      <w:lang w:eastAsia="tr-TR"/>
                    </w:rPr>
                  </w:pPr>
                  <w:r>
                    <w:rPr>
                      <w:rFonts w:ascii="Arial" w:hAnsi="Arial" w:cs="Arial"/>
                      <w:sz w:val="16"/>
                      <w:szCs w:val="16"/>
                      <w:lang w:eastAsia="tr-TR"/>
                    </w:rPr>
                    <w:t>6 Temmuz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6C84" w:rsidRDefault="00E26C84">
                  <w:pPr>
                    <w:spacing w:line="240" w:lineRule="atLeast"/>
                    <w:jc w:val="center"/>
                    <w:rPr>
                      <w:rFonts w:ascii="Times New Roman" w:hAnsi="Times New Roman"/>
                      <w:sz w:val="24"/>
                      <w:szCs w:val="24"/>
                      <w:lang w:eastAsia="tr-TR"/>
                    </w:rPr>
                  </w:pPr>
                  <w:r>
                    <w:rPr>
                      <w:rFonts w:ascii="Palatino Linotype"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26C84" w:rsidRDefault="00E26C84">
                  <w:pPr>
                    <w:spacing w:before="100" w:beforeAutospacing="1" w:after="100" w:afterAutospacing="1"/>
                    <w:jc w:val="right"/>
                    <w:rPr>
                      <w:rFonts w:ascii="Times New Roman" w:hAnsi="Times New Roman"/>
                      <w:sz w:val="24"/>
                      <w:szCs w:val="24"/>
                      <w:lang w:eastAsia="tr-TR"/>
                    </w:rPr>
                  </w:pPr>
                  <w:proofErr w:type="gramStart"/>
                  <w:r>
                    <w:rPr>
                      <w:rFonts w:ascii="Arial" w:hAnsi="Arial" w:cs="Arial"/>
                      <w:sz w:val="16"/>
                      <w:szCs w:val="16"/>
                      <w:lang w:eastAsia="tr-TR"/>
                    </w:rPr>
                    <w:t>Sayı : 30823</w:t>
                  </w:r>
                  <w:proofErr w:type="gramEnd"/>
                </w:p>
              </w:tc>
            </w:tr>
            <w:tr w:rsidR="00E26C84">
              <w:trPr>
                <w:trHeight w:val="480"/>
                <w:jc w:val="center"/>
              </w:trPr>
              <w:tc>
                <w:tcPr>
                  <w:tcW w:w="8789" w:type="dxa"/>
                  <w:gridSpan w:val="3"/>
                  <w:tcMar>
                    <w:top w:w="0" w:type="dxa"/>
                    <w:left w:w="108" w:type="dxa"/>
                    <w:bottom w:w="0" w:type="dxa"/>
                    <w:right w:w="108" w:type="dxa"/>
                  </w:tcMar>
                  <w:vAlign w:val="center"/>
                  <w:hideMark/>
                </w:tcPr>
                <w:p w:rsidR="00E26C84" w:rsidRDefault="00E26C84">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TEBLİĞ</w:t>
                  </w:r>
                </w:p>
              </w:tc>
            </w:tr>
            <w:tr w:rsidR="00E26C84">
              <w:trPr>
                <w:trHeight w:val="480"/>
                <w:jc w:val="center"/>
              </w:trPr>
              <w:tc>
                <w:tcPr>
                  <w:tcW w:w="8789" w:type="dxa"/>
                  <w:gridSpan w:val="3"/>
                  <w:tcMar>
                    <w:top w:w="0" w:type="dxa"/>
                    <w:left w:w="108" w:type="dxa"/>
                    <w:bottom w:w="0" w:type="dxa"/>
                    <w:right w:w="108" w:type="dxa"/>
                  </w:tcMar>
                  <w:vAlign w:val="center"/>
                  <w:hideMark/>
                </w:tcPr>
                <w:p w:rsidR="00E26C84" w:rsidRDefault="00E26C84">
                  <w:pPr>
                    <w:spacing w:line="240" w:lineRule="atLeast"/>
                    <w:ind w:firstLine="566"/>
                    <w:jc w:val="both"/>
                    <w:rPr>
                      <w:rFonts w:ascii="Times New Roman" w:hAnsi="Times New Roman"/>
                      <w:u w:val="single"/>
                      <w:lang w:eastAsia="tr-TR"/>
                    </w:rPr>
                  </w:pPr>
                  <w:r>
                    <w:rPr>
                      <w:rFonts w:ascii="Times New Roman" w:hAnsi="Times New Roman"/>
                      <w:sz w:val="18"/>
                      <w:szCs w:val="18"/>
                      <w:u w:val="single"/>
                      <w:lang w:eastAsia="tr-TR"/>
                    </w:rPr>
                    <w:t>Ticaret Bakanlığından:</w:t>
                  </w:r>
                </w:p>
                <w:p w:rsidR="00E26C84" w:rsidRDefault="00E26C84">
                  <w:pPr>
                    <w:spacing w:before="56"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İTHALATTA HAKSIZ REKABETİN ÖNLENMESİNE</w:t>
                  </w:r>
                </w:p>
                <w:p w:rsidR="00E26C84" w:rsidRDefault="00E26C84">
                  <w:pPr>
                    <w:spacing w:after="170" w:line="240" w:lineRule="atLeast"/>
                    <w:jc w:val="center"/>
                    <w:rPr>
                      <w:rFonts w:ascii="Times New Roman" w:hAnsi="Times New Roman"/>
                      <w:b/>
                      <w:bCs/>
                      <w:sz w:val="19"/>
                      <w:szCs w:val="19"/>
                      <w:lang w:eastAsia="tr-TR"/>
                    </w:rPr>
                  </w:pPr>
                  <w:r>
                    <w:rPr>
                      <w:rFonts w:ascii="Times New Roman" w:hAnsi="Times New Roman"/>
                      <w:b/>
                      <w:bCs/>
                      <w:sz w:val="18"/>
                      <w:szCs w:val="18"/>
                      <w:lang w:eastAsia="tr-TR"/>
                    </w:rPr>
                    <w:t>İLİŞKİN TEBLİĞ (TEBLİĞ NO: 2019/21)</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Amaç ve kapsam</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 – </w:t>
                  </w:r>
                  <w:r>
                    <w:rPr>
                      <w:rFonts w:ascii="Times New Roman" w:hAnsi="Times New Roman"/>
                      <w:sz w:val="18"/>
                      <w:szCs w:val="18"/>
                      <w:lang w:eastAsia="tr-TR"/>
                    </w:rPr>
                    <w:t xml:space="preserve">(1) Bu Tebliğin amacı, Endonezya Cumhuriyeti’nde yerleşik PT </w:t>
                  </w:r>
                  <w:proofErr w:type="spellStart"/>
                  <w:r>
                    <w:rPr>
                      <w:rFonts w:ascii="Times New Roman" w:hAnsi="Times New Roman"/>
                      <w:sz w:val="18"/>
                      <w:szCs w:val="18"/>
                      <w:lang w:eastAsia="tr-TR"/>
                    </w:rPr>
                    <w:t>Elegant</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Industries</w:t>
                  </w:r>
                  <w:proofErr w:type="spellEnd"/>
                  <w:r>
                    <w:rPr>
                      <w:rFonts w:ascii="Times New Roman" w:hAnsi="Times New Roman"/>
                      <w:sz w:val="18"/>
                      <w:szCs w:val="18"/>
                      <w:lang w:eastAsia="tr-TR"/>
                    </w:rPr>
                    <w:t xml:space="preserve"> ve PT </w:t>
                  </w:r>
                  <w:proofErr w:type="spellStart"/>
                  <w:r>
                    <w:rPr>
                      <w:rFonts w:ascii="Times New Roman" w:hAnsi="Times New Roman"/>
                      <w:sz w:val="18"/>
                      <w:szCs w:val="18"/>
                      <w:lang w:eastAsia="tr-TR"/>
                    </w:rPr>
                    <w:t>Sunrise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Bumi</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Textiles</w:t>
                  </w:r>
                  <w:proofErr w:type="spellEnd"/>
                  <w:r>
                    <w:rPr>
                      <w:rFonts w:ascii="Times New Roman" w:hAnsi="Times New Roman"/>
                      <w:sz w:val="18"/>
                      <w:szCs w:val="18"/>
                      <w:lang w:eastAsia="tr-TR"/>
                    </w:rPr>
                    <w:t xml:space="preserve"> firmalarından gerçekleştirilen 55.08, 55.09 (</w:t>
                  </w:r>
                  <w:proofErr w:type="gramStart"/>
                  <w:r>
                    <w:rPr>
                      <w:rFonts w:ascii="Times New Roman" w:hAnsi="Times New Roman"/>
                      <w:sz w:val="18"/>
                      <w:szCs w:val="18"/>
                      <w:lang w:eastAsia="tr-TR"/>
                    </w:rPr>
                    <w:t>5509.52</w:t>
                  </w:r>
                  <w:proofErr w:type="gramEnd"/>
                  <w:r>
                    <w:rPr>
                      <w:rFonts w:ascii="Times New Roman" w:hAnsi="Times New Roman"/>
                      <w:sz w:val="18"/>
                      <w:szCs w:val="18"/>
                      <w:lang w:eastAsia="tr-TR"/>
                    </w:rPr>
                    <w:t>, 5509.61, 5509.91 gümrük tarife alt pozisyonları hariç), 55.10 (5510.20 gümrük tarife alt pozisyonu hariç) ve 55.11 Gümrük Tarife Pozisyonları altında kayıtlı “sentetik veya suni devamsız liflerden iplikler (kesik elyaf ipliği)” e yönelik olarak resen bir </w:t>
                  </w:r>
                  <w:proofErr w:type="spellStart"/>
                  <w:r>
                    <w:rPr>
                      <w:rFonts w:ascii="Times New Roman" w:hAnsi="Times New Roman"/>
                      <w:sz w:val="18"/>
                      <w:szCs w:val="18"/>
                      <w:lang w:eastAsia="tr-TR"/>
                    </w:rPr>
                    <w:t>dampingsoruşturması</w:t>
                  </w:r>
                  <w:proofErr w:type="spellEnd"/>
                  <w:r>
                    <w:rPr>
                      <w:rFonts w:ascii="Times New Roman" w:hAnsi="Times New Roman"/>
                      <w:sz w:val="18"/>
                      <w:szCs w:val="18"/>
                      <w:lang w:eastAsia="tr-TR"/>
                    </w:rPr>
                    <w:t xml:space="preserve"> açılması ve açılan soruşturmanın usul ve esaslarının belirlenmesidir.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Dayanak</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2 –</w:t>
                  </w:r>
                  <w:r>
                    <w:rPr>
                      <w:rFonts w:ascii="Times New Roman" w:hAnsi="Times New Roman"/>
                      <w:sz w:val="18"/>
                      <w:szCs w:val="18"/>
                      <w:lang w:eastAsia="tr-TR"/>
                    </w:rPr>
                    <w:t> (1) Bu Tebliğ, </w:t>
                  </w:r>
                  <w:proofErr w:type="gramStart"/>
                  <w:r>
                    <w:rPr>
                      <w:rFonts w:ascii="Times New Roman" w:hAnsi="Times New Roman"/>
                      <w:sz w:val="18"/>
                      <w:szCs w:val="18"/>
                      <w:lang w:eastAsia="tr-TR"/>
                    </w:rPr>
                    <w:t>14/6/1989</w:t>
                  </w:r>
                  <w:proofErr w:type="gramEnd"/>
                  <w:r>
                    <w:rPr>
                      <w:rFonts w:ascii="Times New Roman" w:hAnsi="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 Hakkında Yönetmeliğe dayanılarak hazırlanmıştır.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Tanımlar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3 –</w:t>
                  </w:r>
                  <w:r>
                    <w:rPr>
                      <w:rFonts w:ascii="Times New Roman" w:hAnsi="Times New Roman"/>
                      <w:sz w:val="18"/>
                      <w:szCs w:val="18"/>
                      <w:lang w:eastAsia="tr-TR"/>
                    </w:rPr>
                    <w:t> (1) Bu Tebliğde geçen;</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a) Anlaşma: Dünya Ticaret Örgütü Anti-Damping Anlaşmasını,</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b) Bakanlık: Ticaret Bakanlığını,</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c) Endonezya: Endonezya Cumhuriyetini,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ç) Genel Müdürlük: Bakanlık İthalat Genel Müdürlüğünü,</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d) GTP: Gümrük tarife pozisyonunu,</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e) Karar: </w:t>
                  </w:r>
                  <w:proofErr w:type="gramStart"/>
                  <w:r>
                    <w:rPr>
                      <w:rFonts w:ascii="Times New Roman" w:hAnsi="Times New Roman"/>
                      <w:sz w:val="18"/>
                      <w:szCs w:val="18"/>
                      <w:lang w:eastAsia="tr-TR"/>
                    </w:rPr>
                    <w:t>20/10/1999</w:t>
                  </w:r>
                  <w:proofErr w:type="gramEnd"/>
                  <w:r>
                    <w:rPr>
                      <w:rFonts w:ascii="Times New Roman" w:hAnsi="Times New Roman"/>
                      <w:sz w:val="18"/>
                      <w:szCs w:val="18"/>
                      <w:lang w:eastAsia="tr-TR"/>
                    </w:rPr>
                    <w:t> tarihli ve 99/13482 sayılı Bakanlar Kurulu Kararı ile yürürlüğe konulan İthalatta Haksız Rekabetin Önlenmesi Hakkında Kararı,</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f) NGGS: Nihai gözden geçirme soruşturmasını,</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g) TGTC: İstatistik Pozisyonlarına Bölünmüş Türk Gümrük Tarife Cetvelini,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ğ) Yönetmelik: </w:t>
                  </w:r>
                  <w:proofErr w:type="gramStart"/>
                  <w:r>
                    <w:rPr>
                      <w:rFonts w:ascii="Times New Roman" w:hAnsi="Times New Roman"/>
                      <w:sz w:val="18"/>
                      <w:szCs w:val="18"/>
                      <w:lang w:eastAsia="tr-TR"/>
                    </w:rPr>
                    <w:t>30/10/1999</w:t>
                  </w:r>
                  <w:proofErr w:type="gramEnd"/>
                  <w:r>
                    <w:rPr>
                      <w:rFonts w:ascii="Times New Roman" w:hAnsi="Times New Roman"/>
                      <w:sz w:val="18"/>
                      <w:szCs w:val="18"/>
                      <w:lang w:eastAsia="tr-TR"/>
                    </w:rPr>
                    <w:t xml:space="preserve"> tarihli ve 23861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 Hakkında Yönetmeliği,</w:t>
                  </w:r>
                </w:p>
                <w:p w:rsidR="00E26C84" w:rsidRDefault="00E26C84">
                  <w:pPr>
                    <w:spacing w:line="240" w:lineRule="atLeast"/>
                    <w:ind w:firstLine="566"/>
                    <w:jc w:val="both"/>
                    <w:rPr>
                      <w:rFonts w:ascii="Times New Roman" w:hAnsi="Times New Roman"/>
                      <w:sz w:val="19"/>
                      <w:szCs w:val="19"/>
                      <w:lang w:eastAsia="tr-TR"/>
                    </w:rPr>
                  </w:pPr>
                  <w:proofErr w:type="gramStart"/>
                  <w:r>
                    <w:rPr>
                      <w:rFonts w:ascii="Times New Roman" w:hAnsi="Times New Roman"/>
                      <w:sz w:val="18"/>
                      <w:szCs w:val="18"/>
                      <w:lang w:eastAsia="tr-TR"/>
                    </w:rPr>
                    <w:t>ifade</w:t>
                  </w:r>
                  <w:proofErr w:type="gramEnd"/>
                  <w:r>
                    <w:rPr>
                      <w:rFonts w:ascii="Times New Roman" w:hAnsi="Times New Roman"/>
                      <w:sz w:val="18"/>
                      <w:szCs w:val="18"/>
                      <w:lang w:eastAsia="tr-TR"/>
                    </w:rPr>
                    <w:t> eder.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Soruşturma konusu ürün</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4 –</w:t>
                  </w:r>
                  <w:r>
                    <w:rPr>
                      <w:rFonts w:ascii="Times New Roman" w:hAnsi="Times New Roman"/>
                      <w:sz w:val="18"/>
                      <w:szCs w:val="18"/>
                      <w:lang w:eastAsia="tr-TR"/>
                    </w:rPr>
                    <w:t> (1) Soruşturma konusu ürün, 55.08, 55.09 (</w:t>
                  </w:r>
                  <w:proofErr w:type="gramStart"/>
                  <w:r>
                    <w:rPr>
                      <w:rFonts w:ascii="Times New Roman" w:hAnsi="Times New Roman"/>
                      <w:sz w:val="18"/>
                      <w:szCs w:val="18"/>
                      <w:lang w:eastAsia="tr-TR"/>
                    </w:rPr>
                    <w:t>5509.52</w:t>
                  </w:r>
                  <w:proofErr w:type="gramEnd"/>
                  <w:r>
                    <w:rPr>
                      <w:rFonts w:ascii="Times New Roman" w:hAnsi="Times New Roman"/>
                      <w:sz w:val="18"/>
                      <w:szCs w:val="18"/>
                      <w:lang w:eastAsia="tr-TR"/>
                    </w:rPr>
                    <w:t xml:space="preserve">, 5509.61, 5509.91 gümrük tarife alt pozisyonları hariç), 55.10 (5510.20 gümrük tarife alt pozisyonu hariç) ve 55.11 </w:t>
                  </w:r>
                  <w:proofErr w:type="spellStart"/>
                  <w:r>
                    <w:rPr>
                      <w:rFonts w:ascii="Times New Roman" w:hAnsi="Times New Roman"/>
                      <w:sz w:val="18"/>
                      <w:szCs w:val="18"/>
                      <w:lang w:eastAsia="tr-TR"/>
                    </w:rPr>
                    <w:t>GTP’leri</w:t>
                  </w:r>
                  <w:proofErr w:type="spellEnd"/>
                  <w:r>
                    <w:rPr>
                      <w:rFonts w:ascii="Times New Roman" w:hAnsi="Times New Roman"/>
                      <w:sz w:val="18"/>
                      <w:szCs w:val="18"/>
                      <w:lang w:eastAsia="tr-TR"/>
                    </w:rPr>
                    <w:t xml:space="preserve"> altında kayıtlı “sentetik veya suni devamsız liflerden iplikler (kesik elyaf ipliği)”</w:t>
                  </w:r>
                  <w:proofErr w:type="spellStart"/>
                  <w:r>
                    <w:rPr>
                      <w:rFonts w:ascii="Times New Roman" w:hAnsi="Times New Roman"/>
                      <w:sz w:val="18"/>
                      <w:szCs w:val="18"/>
                      <w:lang w:eastAsia="tr-TR"/>
                    </w:rPr>
                    <w:t>dir</w:t>
                  </w:r>
                  <w:proofErr w:type="spellEnd"/>
                  <w:r>
                    <w:rPr>
                      <w:rFonts w:ascii="Times New Roman" w:hAnsi="Times New Roman"/>
                      <w:sz w:val="18"/>
                      <w:szCs w:val="18"/>
                      <w:lang w:eastAsia="tr-TR"/>
                    </w:rPr>
                    <w:t>.</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(2) Bahse konu </w:t>
                  </w:r>
                  <w:proofErr w:type="spellStart"/>
                  <w:r>
                    <w:rPr>
                      <w:rFonts w:ascii="Times New Roman" w:hAnsi="Times New Roman"/>
                      <w:sz w:val="18"/>
                      <w:szCs w:val="18"/>
                      <w:lang w:eastAsia="tr-TR"/>
                    </w:rPr>
                    <w:t>GTP’ler</w:t>
                  </w:r>
                  <w:proofErr w:type="spellEnd"/>
                  <w:r>
                    <w:rPr>
                      <w:rFonts w:ascii="Times New Roman" w:hAnsi="Times New Roman"/>
                      <w:sz w:val="18"/>
                      <w:szCs w:val="18"/>
                      <w:lang w:eastAsia="tr-TR"/>
                    </w:rPr>
                    <w:t>, yalnızca bilgi amaçlı verilmiş olup bağlayıcı mahiyette değildir.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(3) Söz konusu ürünün </w:t>
                  </w:r>
                  <w:proofErr w:type="spellStart"/>
                  <w:r>
                    <w:rPr>
                      <w:rFonts w:ascii="Times New Roman" w:hAnsi="Times New Roman"/>
                      <w:sz w:val="18"/>
                      <w:szCs w:val="18"/>
                      <w:lang w:eastAsia="tr-TR"/>
                    </w:rPr>
                    <w:t>TGTC’de</w:t>
                  </w:r>
                  <w:proofErr w:type="spellEnd"/>
                  <w:r>
                    <w:rPr>
                      <w:rFonts w:ascii="Times New Roman" w:hAnsi="Times New Roman"/>
                      <w:sz w:val="18"/>
                      <w:szCs w:val="18"/>
                      <w:lang w:eastAsia="tr-TR"/>
                    </w:rPr>
                    <w:t xml:space="preserve"> yer alan tarife pozisyonunda ve/veya eşya tanımında yapılacak değişiklikler, bu Tebliğ hükümlerinin uygulanmasına engel teşkil etmez.</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Endonezya’ya yönelik mevcut önlem</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5 – </w:t>
                  </w:r>
                  <w:r>
                    <w:rPr>
                      <w:rFonts w:ascii="Times New Roman" w:hAnsi="Times New Roman"/>
                      <w:sz w:val="18"/>
                      <w:szCs w:val="18"/>
                      <w:lang w:eastAsia="tr-TR"/>
                    </w:rPr>
                    <w:t xml:space="preserve">(1) Soruşturma konusu ürünün Endonezya menşeli olanlarına yönelik olarak ilk defa 12/1/2009tarihli ve 27108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Önlenmesine İlişkin Tebliğ (Tebliğ No: 2009/1) vasıtasıyla kilogram başına 0,23 ABD Doları ila 0,40 ABD Doları arasında değişen maktu değerlerde </w:t>
                  </w:r>
                  <w:proofErr w:type="gramStart"/>
                  <w:r>
                    <w:rPr>
                      <w:rFonts w:ascii="Times New Roman" w:hAnsi="Times New Roman"/>
                      <w:sz w:val="18"/>
                      <w:szCs w:val="18"/>
                      <w:lang w:eastAsia="tr-TR"/>
                    </w:rPr>
                    <w:t>dampinge</w:t>
                  </w:r>
                  <w:proofErr w:type="gramEnd"/>
                  <w:r>
                    <w:rPr>
                      <w:rFonts w:ascii="Times New Roman" w:hAnsi="Times New Roman"/>
                      <w:sz w:val="18"/>
                      <w:szCs w:val="18"/>
                      <w:lang w:eastAsia="tr-TR"/>
                    </w:rPr>
                    <w:t xml:space="preserve"> karşı önlem yürürlüğe konulmuştur. PT </w:t>
                  </w:r>
                  <w:proofErr w:type="spellStart"/>
                  <w:r>
                    <w:rPr>
                      <w:rFonts w:ascii="Times New Roman" w:hAnsi="Times New Roman"/>
                      <w:sz w:val="18"/>
                      <w:szCs w:val="18"/>
                      <w:lang w:eastAsia="tr-TR"/>
                    </w:rPr>
                    <w:t>Elegant</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Industries</w:t>
                  </w:r>
                  <w:proofErr w:type="spellEnd"/>
                  <w:r>
                    <w:rPr>
                      <w:rFonts w:ascii="Times New Roman" w:hAnsi="Times New Roman"/>
                      <w:sz w:val="18"/>
                      <w:szCs w:val="18"/>
                      <w:lang w:eastAsia="tr-TR"/>
                    </w:rPr>
                    <w:t xml:space="preserve"> ve PT </w:t>
                  </w:r>
                  <w:proofErr w:type="spellStart"/>
                  <w:r>
                    <w:rPr>
                      <w:rFonts w:ascii="Times New Roman" w:hAnsi="Times New Roman"/>
                      <w:sz w:val="18"/>
                      <w:szCs w:val="18"/>
                      <w:lang w:eastAsia="tr-TR"/>
                    </w:rPr>
                    <w:t>Sunrise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Bumi</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Textiles</w:t>
                  </w:r>
                  <w:proofErr w:type="spellEnd"/>
                  <w:r>
                    <w:rPr>
                      <w:rFonts w:ascii="Times New Roman" w:hAnsi="Times New Roman"/>
                      <w:sz w:val="18"/>
                      <w:szCs w:val="18"/>
                      <w:lang w:eastAsia="tr-TR"/>
                    </w:rPr>
                    <w:t xml:space="preserve"> firmalarına yönelik olarak Yönetmeliğin 28 inci maddesi çerçevesinde ihmal edilebilir seviyenin üzerinde </w:t>
                  </w:r>
                  <w:proofErr w:type="gramStart"/>
                  <w:r>
                    <w:rPr>
                      <w:rFonts w:ascii="Times New Roman" w:hAnsi="Times New Roman"/>
                      <w:sz w:val="18"/>
                      <w:szCs w:val="18"/>
                      <w:lang w:eastAsia="tr-TR"/>
                    </w:rPr>
                    <w:t>damping</w:t>
                  </w:r>
                  <w:proofErr w:type="gramEnd"/>
                  <w:r>
                    <w:rPr>
                      <w:rFonts w:ascii="Times New Roman" w:hAnsi="Times New Roman"/>
                      <w:sz w:val="18"/>
                      <w:szCs w:val="18"/>
                      <w:lang w:eastAsia="tr-TR"/>
                    </w:rPr>
                    <w:t> marjı tespit edilemediğinden, mezkur firmalara yönelik damping önlemi yürürlüğe konulmamıştır.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Önleme yönelik yürütülen NGGS neticesinde </w:t>
                  </w:r>
                  <w:proofErr w:type="gramStart"/>
                  <w:r>
                    <w:rPr>
                      <w:rFonts w:ascii="Times New Roman" w:hAnsi="Times New Roman"/>
                      <w:sz w:val="18"/>
                      <w:szCs w:val="18"/>
                      <w:lang w:eastAsia="tr-TR"/>
                    </w:rPr>
                    <w:t>17/4/2015</w:t>
                  </w:r>
                  <w:proofErr w:type="gramEnd"/>
                  <w:r>
                    <w:rPr>
                      <w:rFonts w:ascii="Times New Roman" w:hAnsi="Times New Roman"/>
                      <w:sz w:val="18"/>
                      <w:szCs w:val="18"/>
                      <w:lang w:eastAsia="tr-TR"/>
                    </w:rPr>
                    <w:t xml:space="preserve"> tarihli ve 29329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Önlenmesine İlişkin Tebliğ (Tebliğ No: 2015/8) vasıtasıyla önlemin mevcut haliyle uygulanmasına devam edilmiştir.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Bu Tebliğde kullanılan “2019/2 sayılı Tebliğe konu NGGS” ifadesiyle Çin Halk Cumhuriyeti, Endonezya, Hindistan Cumhuriyeti, Malezya, Pakistan İslam Cumhuriyeti, Tayland Krallığı ve Vietnam Sosyalist Cumhuriyeti menşeli 55.08, 55.09 (</w:t>
                  </w:r>
                  <w:proofErr w:type="gramStart"/>
                  <w:r>
                    <w:rPr>
                      <w:rFonts w:ascii="Times New Roman" w:hAnsi="Times New Roman"/>
                      <w:sz w:val="18"/>
                      <w:szCs w:val="18"/>
                      <w:lang w:eastAsia="tr-TR"/>
                    </w:rPr>
                    <w:t>5509.52</w:t>
                  </w:r>
                  <w:proofErr w:type="gramEnd"/>
                  <w:r>
                    <w:rPr>
                      <w:rFonts w:ascii="Times New Roman" w:hAnsi="Times New Roman"/>
                      <w:sz w:val="18"/>
                      <w:szCs w:val="18"/>
                      <w:lang w:eastAsia="tr-TR"/>
                    </w:rPr>
                    <w:t xml:space="preserve">, 5509.61, 5509.91 gümrük tarife alt pozisyonları hariç) ve 55.11 </w:t>
                  </w:r>
                  <w:proofErr w:type="spellStart"/>
                  <w:r>
                    <w:rPr>
                      <w:rFonts w:ascii="Times New Roman" w:hAnsi="Times New Roman"/>
                      <w:sz w:val="18"/>
                      <w:szCs w:val="18"/>
                      <w:lang w:eastAsia="tr-TR"/>
                    </w:rPr>
                    <w:t>GTP’leri</w:t>
                  </w:r>
                  <w:proofErr w:type="spellEnd"/>
                  <w:r>
                    <w:rPr>
                      <w:rFonts w:ascii="Times New Roman" w:hAnsi="Times New Roman"/>
                      <w:sz w:val="18"/>
                      <w:szCs w:val="18"/>
                      <w:lang w:eastAsia="tr-TR"/>
                    </w:rPr>
                    <w:t xml:space="preserve"> altında kayıtlı “sentetik veya suni devamsız liflerden iplikler (kesik elyaf ipliği)” e yönelik 31/12/2018 tarihli ve 30642 dördüncü mükerrer sayılı Resmî </w:t>
                  </w:r>
                  <w:proofErr w:type="spellStart"/>
                  <w:r>
                    <w:rPr>
                      <w:rFonts w:ascii="Times New Roman" w:hAnsi="Times New Roman"/>
                      <w:sz w:val="18"/>
                      <w:szCs w:val="18"/>
                      <w:lang w:eastAsia="tr-TR"/>
                    </w:rPr>
                    <w:t>Gazete’de</w:t>
                  </w:r>
                  <w:proofErr w:type="spellEnd"/>
                  <w:r>
                    <w:rPr>
                      <w:rFonts w:ascii="Times New Roman" w:hAnsi="Times New Roman"/>
                      <w:sz w:val="18"/>
                      <w:szCs w:val="18"/>
                      <w:lang w:eastAsia="tr-TR"/>
                    </w:rPr>
                    <w:t xml:space="preserve"> yayımlanan İthalatta Haksız Rekabetin Önlenmesine İlişkin Tebliğ (Tebliğ No: 2019/2) ile başlatılan NGGS kastedilmektedir.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Damping incelemesi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lastRenderedPageBreak/>
                    <w:t>MADDE 6 –</w:t>
                  </w:r>
                  <w:r>
                    <w:rPr>
                      <w:rFonts w:ascii="Times New Roman" w:hAnsi="Times New Roman"/>
                      <w:sz w:val="18"/>
                      <w:szCs w:val="18"/>
                      <w:lang w:eastAsia="tr-TR"/>
                    </w:rPr>
                    <w:t> (1) Normal değer için Endonezya iç piyasasına ilişkin eldeki üretim maliyetine satış, genel, idari giderleri ile finansman giderleri eklemek suretiyle hesaplanan ticari maliyete, makul kar oranı ilave edilerek ağırlıklı ortalama değer esas alınmıştır.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İhraç fiyatı olarak, soruşturma konusu firmalar tarafından Türkiye’ye gerçekleştirilen satışların ağırlıklı ortalaması esas alınmıştır.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Normal değer ile ihraç fiyatları mümkün olduğu ölçüde aynı ticari aşamada karşılaştırılmış olup hesaplanan </w:t>
                  </w:r>
                  <w:proofErr w:type="gramStart"/>
                  <w:r>
                    <w:rPr>
                      <w:rFonts w:ascii="Times New Roman" w:hAnsi="Times New Roman"/>
                      <w:sz w:val="18"/>
                      <w:szCs w:val="18"/>
                      <w:lang w:eastAsia="tr-TR"/>
                    </w:rPr>
                    <w:t>damping</w:t>
                  </w:r>
                  <w:proofErr w:type="gramEnd"/>
                  <w:r>
                    <w:rPr>
                      <w:rFonts w:ascii="Times New Roman" w:hAnsi="Times New Roman"/>
                      <w:sz w:val="18"/>
                      <w:szCs w:val="18"/>
                      <w:lang w:eastAsia="tr-TR"/>
                    </w:rPr>
                    <w:t> marjlarının ihmal edilebilir oranın üzerinde olduğu tespit edilmiştir.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Zarar ve nedensellik incelemesi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7 –</w:t>
                  </w:r>
                  <w:r>
                    <w:rPr>
                      <w:rFonts w:ascii="Times New Roman" w:hAnsi="Times New Roman"/>
                      <w:sz w:val="18"/>
                      <w:szCs w:val="18"/>
                      <w:lang w:eastAsia="tr-TR"/>
                    </w:rPr>
                    <w:t xml:space="preserve"> (1) PT </w:t>
                  </w:r>
                  <w:proofErr w:type="spellStart"/>
                  <w:r>
                    <w:rPr>
                      <w:rFonts w:ascii="Times New Roman" w:hAnsi="Times New Roman"/>
                      <w:sz w:val="18"/>
                      <w:szCs w:val="18"/>
                      <w:lang w:eastAsia="tr-TR"/>
                    </w:rPr>
                    <w:t>Elegant</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Industries</w:t>
                  </w:r>
                  <w:proofErr w:type="spellEnd"/>
                  <w:r>
                    <w:rPr>
                      <w:rFonts w:ascii="Times New Roman" w:hAnsi="Times New Roman"/>
                      <w:sz w:val="18"/>
                      <w:szCs w:val="18"/>
                      <w:lang w:eastAsia="tr-TR"/>
                    </w:rPr>
                    <w:t xml:space="preserve"> ve PT </w:t>
                  </w:r>
                  <w:proofErr w:type="spellStart"/>
                  <w:r>
                    <w:rPr>
                      <w:rFonts w:ascii="Times New Roman" w:hAnsi="Times New Roman"/>
                      <w:sz w:val="18"/>
                      <w:szCs w:val="18"/>
                      <w:lang w:eastAsia="tr-TR"/>
                    </w:rPr>
                    <w:t>Sunrise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Bumi</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Textiles</w:t>
                  </w:r>
                  <w:proofErr w:type="spellEnd"/>
                  <w:r>
                    <w:rPr>
                      <w:rFonts w:ascii="Times New Roman" w:hAnsi="Times New Roman"/>
                      <w:sz w:val="18"/>
                      <w:szCs w:val="18"/>
                      <w:lang w:eastAsia="tr-TR"/>
                    </w:rPr>
                    <w:t xml:space="preserve"> firmalarından gerçekleşen soruşturma konusu ürünün ithalatının 2016-2018 döneminde mutlak olarak dalgalı bir seyir izlemekle birlikte 2016 </w:t>
                  </w:r>
                  <w:proofErr w:type="gramStart"/>
                  <w:r>
                    <w:rPr>
                      <w:rFonts w:ascii="Times New Roman" w:hAnsi="Times New Roman"/>
                      <w:sz w:val="18"/>
                      <w:szCs w:val="18"/>
                      <w:lang w:eastAsia="tr-TR"/>
                    </w:rPr>
                    <w:t>baz</w:t>
                  </w:r>
                  <w:proofErr w:type="gramEnd"/>
                  <w:r>
                    <w:rPr>
                      <w:rFonts w:ascii="Times New Roman" w:hAnsi="Times New Roman"/>
                      <w:sz w:val="18"/>
                      <w:szCs w:val="18"/>
                      <w:lang w:eastAsia="tr-TR"/>
                    </w:rPr>
                    <w:t xml:space="preserve"> yılına göre arttığı; PT </w:t>
                  </w:r>
                  <w:proofErr w:type="spellStart"/>
                  <w:r>
                    <w:rPr>
                      <w:rFonts w:ascii="Times New Roman" w:hAnsi="Times New Roman"/>
                      <w:sz w:val="18"/>
                      <w:szCs w:val="18"/>
                      <w:lang w:eastAsia="tr-TR"/>
                    </w:rPr>
                    <w:t>Elegant</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Industries</w:t>
                  </w:r>
                  <w:proofErr w:type="spellEnd"/>
                  <w:r>
                    <w:rPr>
                      <w:rFonts w:ascii="Times New Roman" w:hAnsi="Times New Roman"/>
                      <w:sz w:val="18"/>
                      <w:szCs w:val="18"/>
                      <w:lang w:eastAsia="tr-TR"/>
                    </w:rPr>
                    <w:t xml:space="preserve"> firmasının pazar payının Türkiye pazarındaki değişikliklere paralel seyrettiği, PT </w:t>
                  </w:r>
                  <w:proofErr w:type="spellStart"/>
                  <w:r>
                    <w:rPr>
                      <w:rFonts w:ascii="Times New Roman" w:hAnsi="Times New Roman"/>
                      <w:sz w:val="18"/>
                      <w:szCs w:val="18"/>
                      <w:lang w:eastAsia="tr-TR"/>
                    </w:rPr>
                    <w:t>Sunrise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Bumi</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Textiles</w:t>
                  </w:r>
                  <w:proofErr w:type="spellEnd"/>
                  <w:r>
                    <w:rPr>
                      <w:rFonts w:ascii="Times New Roman" w:hAnsi="Times New Roman"/>
                      <w:sz w:val="18"/>
                      <w:szCs w:val="18"/>
                      <w:lang w:eastAsia="tr-TR"/>
                    </w:rPr>
                    <w:t xml:space="preserve"> firmasının ise, Türkiye pazarının daraldığı 2017 yılında dahi pazar payını arttırarak yukarı eğimli bir seyir halinde olduğu belirlenmiştir.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Yerli üretim dalı tarafından 2019/2 sayılı Tebliğe konu NGGS kapsamında zarara ilişkin olarak sunulan bilgi, belge ve deliller kullanılmıştır. Buna göre, yerli üretim dalının üretimi, yurt içi satışları, ürün nakit akışı, yurt içi pazar payı, stokları ve yatırımlarının geri dönüş oranında (kar/aktifler) olumsuzlukların bulunduğu görülmüştür.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2018 yılı için soruşturma konusu firmalardan gerçekleşen ithalatın yerli üretim dalının fiyatlarını kırdığı belirlenmiştir. Öte yandan, 2018 yılında yurt içi satış fiyatlarının </w:t>
                  </w:r>
                  <w:proofErr w:type="gramStart"/>
                  <w:r>
                    <w:rPr>
                      <w:rFonts w:ascii="Times New Roman" w:hAnsi="Times New Roman"/>
                      <w:sz w:val="18"/>
                      <w:szCs w:val="18"/>
                      <w:lang w:eastAsia="tr-TR"/>
                    </w:rPr>
                    <w:t>dampingli</w:t>
                  </w:r>
                  <w:proofErr w:type="gramEnd"/>
                  <w:r>
                    <w:rPr>
                      <w:rFonts w:ascii="Times New Roman" w:hAnsi="Times New Roman"/>
                      <w:sz w:val="18"/>
                      <w:szCs w:val="18"/>
                      <w:lang w:eastAsia="tr-TR"/>
                    </w:rPr>
                    <w:t> ithalat nedeniyle baskı altında kaldığı tespit edilmiştir.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(4) İnceleme aşamasında elde edilen deliller ve ithalata ilişkin resmî istatistikler esas alınarak yapılan tespitler ışığında, </w:t>
                  </w:r>
                  <w:proofErr w:type="gramStart"/>
                  <w:r>
                    <w:rPr>
                      <w:rFonts w:ascii="Times New Roman" w:hAnsi="Times New Roman"/>
                      <w:sz w:val="18"/>
                      <w:szCs w:val="18"/>
                      <w:lang w:eastAsia="tr-TR"/>
                    </w:rPr>
                    <w:t>dampingli</w:t>
                  </w:r>
                  <w:proofErr w:type="gramEnd"/>
                  <w:r>
                    <w:rPr>
                      <w:rFonts w:ascii="Times New Roman" w:hAnsi="Times New Roman"/>
                      <w:sz w:val="18"/>
                      <w:szCs w:val="18"/>
                      <w:lang w:eastAsia="tr-TR"/>
                    </w:rPr>
                    <w:t> olduğu belirlenen ithalatın, yerli üretim dalının ekonomik göstergelerinde zarara yol açtığı değerlendirilmiştir.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Karar ve işlemler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8 –</w:t>
                  </w:r>
                  <w:r>
                    <w:rPr>
                      <w:rFonts w:ascii="Times New Roman" w:hAnsi="Times New Roman"/>
                      <w:sz w:val="18"/>
                      <w:szCs w:val="18"/>
                      <w:lang w:eastAsia="tr-TR"/>
                    </w:rPr>
                    <w:t> (1) Yapılan inceleme sonucunda, </w:t>
                  </w:r>
                  <w:proofErr w:type="gramStart"/>
                  <w:r>
                    <w:rPr>
                      <w:rFonts w:ascii="Times New Roman" w:hAnsi="Times New Roman"/>
                      <w:sz w:val="18"/>
                      <w:szCs w:val="18"/>
                      <w:lang w:eastAsia="tr-TR"/>
                    </w:rPr>
                    <w:t>damping</w:t>
                  </w:r>
                  <w:proofErr w:type="gramEnd"/>
                  <w:r>
                    <w:rPr>
                      <w:rFonts w:ascii="Times New Roman" w:hAnsi="Times New Roman"/>
                      <w:sz w:val="18"/>
                      <w:szCs w:val="18"/>
                      <w:lang w:eastAsia="tr-TR"/>
                    </w:rPr>
                    <w:t xml:space="preserve"> soruşturması açılabilmesi için yeterli bilgi, belge ve delillerin bulunduğu anlaşıldığından, İthalatta Haksız Rekabeti Değerlendirme Kurulunun kararı ile Endonezya’da mukim PT </w:t>
                  </w:r>
                  <w:proofErr w:type="spellStart"/>
                  <w:r>
                    <w:rPr>
                      <w:rFonts w:ascii="Times New Roman" w:hAnsi="Times New Roman"/>
                      <w:sz w:val="18"/>
                      <w:szCs w:val="18"/>
                      <w:lang w:eastAsia="tr-TR"/>
                    </w:rPr>
                    <w:t>Elegant</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Industries</w:t>
                  </w:r>
                  <w:proofErr w:type="spellEnd"/>
                  <w:r>
                    <w:rPr>
                      <w:rFonts w:ascii="Times New Roman" w:hAnsi="Times New Roman"/>
                      <w:sz w:val="18"/>
                      <w:szCs w:val="18"/>
                      <w:lang w:eastAsia="tr-TR"/>
                    </w:rPr>
                    <w:t xml:space="preserve"> ve PT </w:t>
                  </w:r>
                  <w:proofErr w:type="spellStart"/>
                  <w:r>
                    <w:rPr>
                      <w:rFonts w:ascii="Times New Roman" w:hAnsi="Times New Roman"/>
                      <w:sz w:val="18"/>
                      <w:szCs w:val="18"/>
                      <w:lang w:eastAsia="tr-TR"/>
                    </w:rPr>
                    <w:t>Sunrise</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Bumi</w:t>
                  </w:r>
                  <w:proofErr w:type="spellEnd"/>
                  <w:r>
                    <w:rPr>
                      <w:rFonts w:ascii="Times New Roman" w:hAnsi="Times New Roman"/>
                      <w:sz w:val="18"/>
                      <w:szCs w:val="18"/>
                      <w:lang w:eastAsia="tr-TR"/>
                    </w:rPr>
                    <w:t xml:space="preserve"> </w:t>
                  </w:r>
                  <w:proofErr w:type="spellStart"/>
                  <w:r>
                    <w:rPr>
                      <w:rFonts w:ascii="Times New Roman" w:hAnsi="Times New Roman"/>
                      <w:sz w:val="18"/>
                      <w:szCs w:val="18"/>
                      <w:lang w:eastAsia="tr-TR"/>
                    </w:rPr>
                    <w:t>Textiles</w:t>
                  </w:r>
                  <w:proofErr w:type="spellEnd"/>
                  <w:r>
                    <w:rPr>
                      <w:rFonts w:ascii="Times New Roman" w:hAnsi="Times New Roman"/>
                      <w:sz w:val="18"/>
                      <w:szCs w:val="18"/>
                      <w:lang w:eastAsia="tr-TR"/>
                    </w:rPr>
                    <w:t xml:space="preserve"> firmalarından gerçekleştirilen ithalatın 2019/2 sayılı Tebliğe konu NGGS kapsamında değerlendirilmemesine, anılan firmalardan ithalatı gerçekleştirilen kesik elyaf ipliği ürününe yönelik olarak Kararın 3 üncü maddesi çerçevesinde resen bir damping soruşturması açılmasına karar verilmiştir.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Soru formlarının iletilmesi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9 –</w:t>
                  </w:r>
                  <w:r>
                    <w:rPr>
                      <w:rFonts w:ascii="Times New Roman" w:hAnsi="Times New Roman"/>
                      <w:sz w:val="18"/>
                      <w:szCs w:val="18"/>
                      <w:lang w:eastAsia="tr-TR"/>
                    </w:rPr>
                    <w:t> (1) Soruşturma açılmasını müteakip, Bakanlıkça tespit edilen soruşturmaya konu ürünün bilinen ithalatçılarına, soruşturma konusu firmalara ve soruşturmaya konu firmaların yerleşik bulunduğu Endonezya’nın Ankara’daki Büyükelçiliğine soruşturmanın açılışına ilişkin bildirimde bulunulur.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Bildirimde, soruşturma açılış Tebliği, başvurunun gizli olmayan özeti ve soru formlarına erişim hususunda bilgiye yer verilir.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Yetkili merci, görüş ve cevapların sunulması</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10 – </w:t>
                  </w:r>
                  <w:r>
                    <w:rPr>
                      <w:rFonts w:ascii="Times New Roman" w:hAnsi="Times New Roman"/>
                      <w:sz w:val="18"/>
                      <w:szCs w:val="18"/>
                      <w:lang w:eastAsia="tr-TR"/>
                    </w:rPr>
                    <w:t>(1) Soruşturma, aşağıda iletişim bilgileri yer alan Genel Müdürlük tarafından yürütülür. Soruşturma ile ilgili bilgi, belge, görüş ve sorular için yetkili merci ile iletişime geçilir.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T.C. Ticaret Bakanlığı</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İthalat Genel Müdürlüğü</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Damping ve Sübvansiyon Dairesi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Adres: </w:t>
                  </w:r>
                  <w:proofErr w:type="spellStart"/>
                  <w:r>
                    <w:rPr>
                      <w:rFonts w:ascii="Times New Roman" w:hAnsi="Times New Roman"/>
                      <w:sz w:val="18"/>
                      <w:szCs w:val="18"/>
                      <w:lang w:eastAsia="tr-TR"/>
                    </w:rPr>
                    <w:t>Söğütözü</w:t>
                  </w:r>
                  <w:proofErr w:type="spellEnd"/>
                  <w:r>
                    <w:rPr>
                      <w:rFonts w:ascii="Times New Roman" w:hAnsi="Times New Roman"/>
                      <w:sz w:val="18"/>
                      <w:szCs w:val="18"/>
                      <w:lang w:eastAsia="tr-TR"/>
                    </w:rPr>
                    <w:t xml:space="preserve"> Mah. 2176. Sok. No:63 Çankaya/ANKARA</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Tel: +90 312 204 75 00</w:t>
                  </w:r>
                </w:p>
                <w:p w:rsidR="00E26C84" w:rsidRDefault="00E26C84">
                  <w:pPr>
                    <w:spacing w:line="240" w:lineRule="atLeast"/>
                    <w:ind w:firstLine="566"/>
                    <w:jc w:val="both"/>
                    <w:rPr>
                      <w:rFonts w:ascii="Times New Roman" w:hAnsi="Times New Roman"/>
                      <w:sz w:val="19"/>
                      <w:szCs w:val="19"/>
                      <w:lang w:eastAsia="tr-TR"/>
                    </w:rPr>
                  </w:pPr>
                  <w:hyperlink r:id="rId4" w:history="1">
                    <w:r>
                      <w:rPr>
                        <w:rStyle w:val="Kpr"/>
                        <w:rFonts w:ascii="Times New Roman" w:hAnsi="Times New Roman"/>
                        <w:sz w:val="18"/>
                        <w:szCs w:val="18"/>
                        <w:lang w:eastAsia="tr-TR"/>
                      </w:rPr>
                      <w:t>www.ticaret.gov.tr</w:t>
                    </w:r>
                  </w:hyperlink>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Soruşturma ile ilgili bilgilere, Bakanlığımızın “</w:t>
                  </w:r>
                  <w:hyperlink r:id="rId5" w:history="1">
                    <w:r>
                      <w:rPr>
                        <w:rStyle w:val="Kpr"/>
                        <w:rFonts w:ascii="Times New Roman" w:hAnsi="Times New Roman"/>
                        <w:sz w:val="18"/>
                        <w:szCs w:val="18"/>
                        <w:lang w:eastAsia="tr-TR"/>
                      </w:rPr>
                      <w:t>https://www.ticaret.gov.tr/ithalat</w:t>
                    </w:r>
                  </w:hyperlink>
                  <w:r>
                    <w:rPr>
                      <w:rFonts w:ascii="Times New Roman" w:hAnsi="Times New Roman"/>
                      <w:sz w:val="18"/>
                      <w:szCs w:val="18"/>
                      <w:lang w:eastAsia="tr-TR"/>
                    </w:rPr>
                    <w:t>” uzantılı internet sitesinden sırasıyla “Ticaret Politikası Savunma Araçları”, “Damping ve Sübvansiyon”, “Soruşturmalar” sekmeleri takip edilerek, soruşturmaya dair ilgili başlıktan erişilebilir.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Soruşturmada “Türkiye’de yerleşik firma, kurum ve kuruluşlardan ilgili taraf olmak isteyenler”, soru formlarına cevapları ile resmi görüşlerini kendilerine ait KEP adreslerinden Bakanlığın aşağıda yer alan KEP adresine gönderir.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KEP Adresi: </w:t>
                  </w:r>
                  <w:hyperlink r:id="rId6" w:history="1">
                    <w:r>
                      <w:rPr>
                        <w:rStyle w:val="Kpr"/>
                        <w:rFonts w:ascii="Times New Roman" w:hAnsi="Times New Roman"/>
                        <w:sz w:val="18"/>
                        <w:szCs w:val="18"/>
                        <w:lang w:eastAsia="tr-TR"/>
                      </w:rPr>
                      <w:t>ekonomi@hs01.kep.tr</w:t>
                    </w:r>
                  </w:hyperlink>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(4) Soruşturmada “yurt dışında yerleşik firma, kurum ve kuruluşlardan ilgili taraf olmak isteyenler”, soru formlarına cevapları ile resmi görüşlerini Bakanlığın posta adresine ve aşağıda yer alan EBYS e-posta adresine gönderir.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EBYS E-posta Adresi: </w:t>
                  </w:r>
                  <w:hyperlink r:id="rId7" w:history="1">
                    <w:r>
                      <w:rPr>
                        <w:rStyle w:val="Kpr"/>
                        <w:rFonts w:ascii="Times New Roman" w:hAnsi="Times New Roman"/>
                        <w:sz w:val="18"/>
                        <w:szCs w:val="18"/>
                        <w:lang w:eastAsia="tr-TR"/>
                      </w:rPr>
                      <w:t>ithebys@ticaret.gov.tr</w:t>
                    </w:r>
                  </w:hyperlink>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lastRenderedPageBreak/>
                    <w:t>(5) Soruşturmaya ilişkin yazılı ve sözlü iletişim Türkçe yapılır. İlgili taraflar, soru formuna ilişkin yanıtlar dışında kalan tüm bilgi, belge, görüş ve taleplerini yazılı olarak Türkçe sunarlar. Türkçe dışında bir dilde sunulan yanıt, bilgi, belge, görüş ve talepler dikkate alınmaz.</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(7) Soruşturmanın sonucundan etkilenebileceklerini iddia eden; ancak 9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11 inci maddenin üçüncü fıkrasında belirtilen süre içerisinde sunabilir.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 xml:space="preserve">(9) Soruşturma süresince Yönetmeliğin 22 </w:t>
                  </w:r>
                  <w:proofErr w:type="spellStart"/>
                  <w:r>
                    <w:rPr>
                      <w:rFonts w:ascii="Times New Roman" w:hAnsi="Times New Roman"/>
                      <w:sz w:val="18"/>
                      <w:szCs w:val="18"/>
                      <w:lang w:eastAsia="tr-TR"/>
                    </w:rPr>
                    <w:t>nci</w:t>
                  </w:r>
                  <w:proofErr w:type="spellEnd"/>
                  <w:r>
                    <w:rPr>
                      <w:rFonts w:ascii="Times New Roman" w:hAnsi="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Süreler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11 – </w:t>
                  </w:r>
                  <w:r>
                    <w:rPr>
                      <w:rFonts w:ascii="Times New Roman" w:hAnsi="Times New Roman"/>
                      <w:sz w:val="18"/>
                      <w:szCs w:val="18"/>
                      <w:lang w:eastAsia="tr-TR"/>
                    </w:rPr>
                    <w:t>(1) 9 uncu maddenin birinci fıkrasında belirtilen bildirimin gönderildiği bütün ilgili taraflar için soru formunu cevaplandırma süresi, soruşturmanın açılışına ilişkin bildirimin gönderildiği tarihten itibaren posta süresi dâhil 37 gündür.</w:t>
                  </w:r>
                </w:p>
                <w:p w:rsidR="00E26C84" w:rsidRDefault="00E26C84">
                  <w:pPr>
                    <w:spacing w:line="240" w:lineRule="atLeast"/>
                    <w:ind w:firstLine="566"/>
                    <w:jc w:val="both"/>
                    <w:rPr>
                      <w:rFonts w:ascii="Times New Roman" w:hAnsi="Times New Roman"/>
                      <w:sz w:val="19"/>
                      <w:szCs w:val="19"/>
                      <w:lang w:eastAsia="tr-TR"/>
                    </w:rPr>
                  </w:pPr>
                  <w:proofErr w:type="gramStart"/>
                  <w:r>
                    <w:rPr>
                      <w:rFonts w:ascii="Times New Roman" w:hAnsi="Times New Roman"/>
                      <w:sz w:val="18"/>
                      <w:szCs w:val="18"/>
                      <w:lang w:eastAsia="tr-TR"/>
                    </w:rPr>
                    <w:t>(2) 9 uncu maddenin üçüncü fıkrasında yer alan bildirimin gönderilemediği ilgili taraflar soru formuna ilişkin cevaplarını ve bütün ilgili taraflar 10 uncu maddenin altıncı fıkrasında belirtilen soru formunda istenilen bilgiler haricinde soruşturmayla ilgili olduğu düşünülen diğer bilgi, belge ve görüşlerini bu Tebliğin yayım tarihinden itibaren başlayacak 37 günlük süre içerisinde sunabilir.</w:t>
                  </w:r>
                  <w:proofErr w:type="gramEnd"/>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(3) Soruşturmanın sonucundan etkilenebileceklerini iddia eden 10 uncu maddenin yedinci fıkrası kapsamına giren diğer ilgili taraflar, soruşturma ile ilgili görüşlerini bu Tebliğin yayımı tarihinden itibaren soruşturmanın akışını etkilemeyecek şekilde soruşturma süreci içerisinde sunabilir.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İşbirliğine gelinmemesi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12 – </w:t>
                  </w:r>
                  <w:r>
                    <w:rPr>
                      <w:rFonts w:ascii="Times New Roman" w:hAnsi="Times New Roman"/>
                      <w:sz w:val="18"/>
                      <w:szCs w:val="18"/>
                      <w:lang w:eastAsia="tr-TR"/>
                    </w:rPr>
                    <w:t xml:space="preserve">(1) Yönetmeliğin 26 </w:t>
                  </w:r>
                  <w:proofErr w:type="spellStart"/>
                  <w:r>
                    <w:rPr>
                      <w:rFonts w:ascii="Times New Roman" w:hAnsi="Times New Roman"/>
                      <w:sz w:val="18"/>
                      <w:szCs w:val="18"/>
                      <w:lang w:eastAsia="tr-TR"/>
                    </w:rPr>
                    <w:t>ncı</w:t>
                  </w:r>
                  <w:proofErr w:type="spellEnd"/>
                  <w:r>
                    <w:rPr>
                      <w:rFonts w:ascii="Times New Roman" w:hAnsi="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Soruşturmanın başlangıç tarihi</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13 –</w:t>
                  </w:r>
                  <w:r>
                    <w:rPr>
                      <w:rFonts w:ascii="Times New Roman" w:hAnsi="Times New Roman"/>
                      <w:sz w:val="18"/>
                      <w:szCs w:val="18"/>
                      <w:lang w:eastAsia="tr-TR"/>
                    </w:rPr>
                    <w:t> (1) Soruşturma, bu Tebliğin yayımı tarihinde başlamış kabul edilir.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Yürürlük</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14 –</w:t>
                  </w:r>
                  <w:r>
                    <w:rPr>
                      <w:rFonts w:ascii="Times New Roman" w:hAnsi="Times New Roman"/>
                      <w:sz w:val="18"/>
                      <w:szCs w:val="18"/>
                      <w:lang w:eastAsia="tr-TR"/>
                    </w:rPr>
                    <w:t> (1) Bu Tebliğ yayımı tarihinde yürürlüğe girer.</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Yürütme</w:t>
                  </w:r>
                </w:p>
                <w:p w:rsidR="00E26C84" w:rsidRDefault="00E26C84">
                  <w:pPr>
                    <w:spacing w:line="240" w:lineRule="atLeast"/>
                    <w:ind w:firstLine="566"/>
                    <w:jc w:val="both"/>
                    <w:rPr>
                      <w:rFonts w:ascii="Times New Roman" w:hAnsi="Times New Roman"/>
                      <w:sz w:val="19"/>
                      <w:szCs w:val="19"/>
                      <w:lang w:eastAsia="tr-TR"/>
                    </w:rPr>
                  </w:pPr>
                  <w:r>
                    <w:rPr>
                      <w:rFonts w:ascii="Times New Roman" w:hAnsi="Times New Roman"/>
                      <w:b/>
                      <w:bCs/>
                      <w:sz w:val="18"/>
                      <w:szCs w:val="18"/>
                      <w:lang w:eastAsia="tr-TR"/>
                    </w:rPr>
                    <w:t>MADDE 15 – </w:t>
                  </w:r>
                  <w:r>
                    <w:rPr>
                      <w:rFonts w:ascii="Times New Roman" w:hAnsi="Times New Roman"/>
                      <w:sz w:val="18"/>
                      <w:szCs w:val="18"/>
                      <w:lang w:eastAsia="tr-TR"/>
                    </w:rPr>
                    <w:t>(1) Bu Tebliğ hükümlerini Ticaret Bakanı yürütür.</w:t>
                  </w:r>
                </w:p>
                <w:p w:rsidR="00E26C84" w:rsidRDefault="00E26C84">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 </w:t>
                  </w:r>
                </w:p>
              </w:tc>
            </w:tr>
          </w:tbl>
          <w:p w:rsidR="00E26C84" w:rsidRDefault="00E26C84">
            <w:pPr>
              <w:jc w:val="center"/>
              <w:rPr>
                <w:rFonts w:ascii="Times New Roman" w:eastAsia="Times New Roman" w:hAnsi="Times New Roman"/>
                <w:sz w:val="20"/>
                <w:szCs w:val="20"/>
                <w:lang w:eastAsia="tr-TR"/>
              </w:rPr>
            </w:pPr>
          </w:p>
        </w:tc>
      </w:tr>
    </w:tbl>
    <w:p w:rsidR="00E26C84" w:rsidRDefault="00E26C84" w:rsidP="00E26C84">
      <w:pPr>
        <w:jc w:val="center"/>
        <w:rPr>
          <w:rFonts w:ascii="Times New Roman" w:hAnsi="Times New Roman"/>
          <w:color w:val="000000"/>
          <w:sz w:val="27"/>
          <w:szCs w:val="27"/>
          <w:lang w:eastAsia="tr-TR"/>
        </w:rPr>
      </w:pPr>
      <w:r>
        <w:rPr>
          <w:rFonts w:ascii="Times New Roman" w:hAnsi="Times New Roman"/>
          <w:color w:val="000000"/>
          <w:sz w:val="27"/>
          <w:szCs w:val="27"/>
          <w:lang w:eastAsia="tr-TR"/>
        </w:rPr>
        <w:lastRenderedPageBreak/>
        <w:t> </w:t>
      </w:r>
    </w:p>
    <w:p w:rsidR="00914EA5" w:rsidRDefault="00914EA5">
      <w:bookmarkStart w:id="0" w:name="_GoBack"/>
      <w:bookmarkEnd w:id="0"/>
    </w:p>
    <w:sectPr w:rsidR="00914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84"/>
    <w:rsid w:val="00914EA5"/>
    <w:rsid w:val="00E26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C9DDF-581D-4C1B-90D3-6298E10D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8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6C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hebys@ticaret.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nomi@hs01.kep.tr" TargetMode="External"/><Relationship Id="rId5" Type="http://schemas.openxmlformats.org/officeDocument/2006/relationships/hyperlink" Target="https://www.ticaret.gov.tr/ithalat" TargetMode="External"/><Relationship Id="rId4" Type="http://schemas.openxmlformats.org/officeDocument/2006/relationships/hyperlink" Target="http://www.ticaret.gov.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1845</Words>
  <Characters>10518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Santral</dc:creator>
  <cp:keywords/>
  <dc:description/>
  <cp:lastModifiedBy>Santral</cp:lastModifiedBy>
  <cp:revision>1</cp:revision>
  <dcterms:created xsi:type="dcterms:W3CDTF">2019-07-08T07:43:00Z</dcterms:created>
  <dcterms:modified xsi:type="dcterms:W3CDTF">2019-07-08T07:45:00Z</dcterms:modified>
</cp:coreProperties>
</file>