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071"/>
        <w:gridCol w:w="2821"/>
      </w:tblGrid>
      <w:tr w:rsidR="00EF100D" w:rsidTr="00EF100D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00D" w:rsidRDefault="00EF10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12 Temmuz 2017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00D" w:rsidRDefault="00EF10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00D" w:rsidRDefault="00EF100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Sayı : 30122</w:t>
            </w:r>
            <w:proofErr w:type="gramEnd"/>
          </w:p>
        </w:tc>
      </w:tr>
      <w:tr w:rsidR="00EF100D" w:rsidTr="00EF100D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00D" w:rsidRDefault="00EF1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EF100D" w:rsidTr="00EF100D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tr-TR"/>
              </w:rPr>
              <w:t>Ekonomi Bakanlığından:</w:t>
            </w:r>
          </w:p>
          <w:p w:rsidR="00EF100D" w:rsidRDefault="00EF100D">
            <w:pPr>
              <w:spacing w:before="56"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İTHALATTA HAKSIZ REKABETİN ÖNLENMESİNE İLİŞKİN TEBLİĞ</w:t>
            </w:r>
          </w:p>
          <w:p w:rsidR="00EF100D" w:rsidRDefault="00EF100D">
            <w:pPr>
              <w:spacing w:after="170"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2017/17)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Amaç ve kapsam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Bu Tebliğin amacı,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7/9/2016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 tarihli ve 29824 sayılı Resmî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Önlenmesine İlişkin Tebliğ (Tebliğ No: 2016/37) ile Çin Halk Cumhuriyeti, Hindistan ve Malezya menşeli 5402.47 gümrük tarife pozisyonlu “diğerleri,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poliesterlerden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” eşya tanımlı polyester düz ipliklerin ithalatına yönelik olarak başlatılan ve T.C. Ekonomi Bakanlığı İthalat Genel Müdürlüğü tarafından yürütülen ara gözden geçirme soruşturmasının tamamlanması neticesinde alınan kararın yürürlüğe konulmasıdır.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Bu Tebliğ,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14/6/1989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 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 Hakkında Yönetmeliğe dayanılarak hazırlanmıştır.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Tanımlar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(1) Bu Tebliğde geçen;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a) ÇHC: Çin Halk Cumhuriyeti’ni,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b) GTP: Gümrük tarife pozisyonunu,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c) Kurul: İthalatta Haksız Rekabeti Değerlendirme Kurulunu,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ç) TGTC: İstatistik Pozisyonlarına Bölünmüş Türk Gümrük Tarife Cetvelini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eder.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(1) Yürütülen soruşturma sonucunda, ÇHC için esas soruşturmada hesaplanan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dampingmarjlarından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daha düşük seviyede uygulanan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dampinge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karşı önlemin dampingli ithalatın yerli üretim dalı üzerinde oluşturduğu zararın ortadan kalkması için yeterli olmadığı tespit edilmiştir. Soruşturma kapsamındaki bilgi, bulgu ve tespitleri içeren Bilgilendirme Raporu’na “</w:t>
            </w:r>
            <w:hyperlink r:id="rId4" w:history="1">
              <w:r>
                <w:rPr>
                  <w:rStyle w:val="Kpr"/>
                  <w:rFonts w:ascii="Times New Roman" w:hAnsi="Times New Roman" w:cs="Times New Roman"/>
                  <w:sz w:val="18"/>
                  <w:szCs w:val="18"/>
                  <w:lang w:eastAsia="tr-TR"/>
                </w:rPr>
                <w:t>www.tpsa.gov.tr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” internet adresinden “Damping ve Sübvansiyon-Bilgilendirme Raporları” bağlantıları seçilerek ulaşılması mümkündür.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(2) Bu çerçevede, soruşturma neticesinde ulaşılan tespitleri değerlendiren Kurulun kararı ve Ekonomi Bakanının onayı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ile,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 16/10/2014 tarihli ve 29147 sayılı Resmî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yayımlanan İthalatta Haksız Rekabetin Önlenmesine İlişkin Tebliğ (Tebliğ No: 2014/31) kapsamında uygulanmakta olan dampinge karşı kesin önlemin Hindistan ve Malezya için aynı tutarlarda, ÇHC için ise aşağıda belirtilen şekilde değiştirilerek uygulanmaya devam edilmesine karar verilmiştir.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1848"/>
              <w:gridCol w:w="1050"/>
              <w:gridCol w:w="4359"/>
              <w:gridCol w:w="886"/>
            </w:tblGrid>
            <w:tr w:rsidR="00EF100D">
              <w:trPr>
                <w:trHeight w:val="708"/>
                <w:jc w:val="center"/>
              </w:trPr>
              <w:tc>
                <w:tcPr>
                  <w:tcW w:w="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GTP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Eşyanın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br/>
                    <w:t>Tanımı</w:t>
                  </w:r>
                </w:p>
              </w:tc>
              <w:tc>
                <w:tcPr>
                  <w:tcW w:w="10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Menşe Ülke</w:t>
                  </w:r>
                </w:p>
              </w:tc>
              <w:tc>
                <w:tcPr>
                  <w:tcW w:w="4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Firmalar</w:t>
                  </w:r>
                </w:p>
              </w:tc>
              <w:tc>
                <w:tcPr>
                  <w:tcW w:w="12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t>Dampinge Karşı Önlem (ABD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  <w:lang w:eastAsia="tr-TR"/>
                    </w:rPr>
                    <w:br/>
                    <w:t>Doları/kg)</w:t>
                  </w: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7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5402.47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Diğerleri,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poliesterlerden</w:t>
                  </w:r>
                  <w:proofErr w:type="spellEnd"/>
                </w:p>
              </w:tc>
              <w:tc>
                <w:tcPr>
                  <w:tcW w:w="10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Malezya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Recron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Malaysia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) SDN.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Bhd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.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0,15</w:t>
                  </w: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Diğerleri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0,17</w:t>
                  </w: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0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Hindistan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Reliance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Industries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Limited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0,15</w:t>
                  </w: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Alok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Industries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Ltd.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Wellknown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Polyesters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Ltd.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Diğerleri</w:t>
                  </w:r>
                </w:p>
              </w:tc>
              <w:tc>
                <w:tcPr>
                  <w:tcW w:w="12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0,17</w:t>
                  </w: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0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Çin Halk Cumhuriyeti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Fujian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Billion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Polymerization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Fiber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TechnologyIndustrial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Co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. Ltd.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0,25</w:t>
                  </w: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Jiangsu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Hengli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Chemical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Fibre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Co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.,</w:t>
                  </w:r>
                  <w:proofErr w:type="gram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Ltd.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Jiangsu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Deli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Chemical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Fibre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Co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.,</w:t>
                  </w:r>
                  <w:proofErr w:type="gram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Ltd.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Jiangsu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Shenghong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Science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Technology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Co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.,</w:t>
                  </w:r>
                  <w:proofErr w:type="gram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Ltd.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Jiangsu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Zhonglu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Technology</w:t>
                  </w:r>
                  <w:proofErr w:type="spell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Development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Co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.,</w:t>
                  </w:r>
                  <w:proofErr w:type="gramEnd"/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 Ltd.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F100D">
              <w:trPr>
                <w:trHeight w:val="30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00D" w:rsidRDefault="00EF10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Diğerleri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F100D" w:rsidRDefault="00EF100D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  <w:lang w:eastAsia="tr-TR"/>
                    </w:rPr>
                    <w:t>0,30</w:t>
                  </w:r>
                </w:p>
              </w:tc>
            </w:tr>
          </w:tbl>
          <w:p w:rsidR="00EF100D" w:rsidRDefault="00EF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(1) Gümrük idareleri, 4 üncü maddede GTP, eşya tanımı ve menşe ülkesi belirtilen eşyanın, diğer mevzuat hükümleri saklı kalmak kaydıyla, serbest dolaşıma giriş rejimi kapsamındaki ithalatında karşısında gösterilen miktarlarda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dampinge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karşı kesin önlemi tahsil eder.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(2) Bilgilendirme Raporu’nda soruşturma konusu ürün ve benzer ürün ile ilgili açıklamalar genel içerikli olup, uygulamaya esas olan yürürlükteki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TGTC’de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yer alan GTP ve 4 üncü maddede yer alan tablodaki eşya tanımıdır.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(3) Önleme tabi ürünün yürürlükteki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TGTC’de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yer alan tarife pozisyonunda ve/veya tanımında yapılacak değişiklikler bu Tebliğ hükümlerinin uygulanmasına engel teşkil etmez.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(1) Bu Tebliğ yayımı tarihinde yürürlüğe girer.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:rsidR="00EF100D" w:rsidRDefault="00EF100D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(1) Bu Tebliğ hükümlerini Ekonomi Bakanı yürütür.</w:t>
            </w:r>
          </w:p>
          <w:p w:rsidR="00EF100D" w:rsidRDefault="00EF1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1F366E" w:rsidRDefault="001F366E">
      <w:bookmarkStart w:id="0" w:name="_GoBack"/>
      <w:bookmarkEnd w:id="0"/>
    </w:p>
    <w:sectPr w:rsidR="001F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D"/>
    <w:rsid w:val="001F366E"/>
    <w:rsid w:val="00E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62890-14BC-4A75-8B65-74D68343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0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F10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a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2017-07-12T07:25:00Z</dcterms:created>
  <dcterms:modified xsi:type="dcterms:W3CDTF">2017-07-12T07:28:00Z</dcterms:modified>
</cp:coreProperties>
</file>